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0" w:rsidRPr="001E0DE2" w:rsidRDefault="00D206C0" w:rsidP="00D206C0">
      <w:pPr>
        <w:ind w:hanging="284"/>
        <w:jc w:val="center"/>
        <w:rPr>
          <w:b/>
          <w:sz w:val="32"/>
          <w:szCs w:val="32"/>
        </w:rPr>
      </w:pPr>
      <w:r w:rsidRPr="001E0DE2">
        <w:rPr>
          <w:b/>
          <w:sz w:val="32"/>
          <w:szCs w:val="32"/>
        </w:rPr>
        <w:t>РОССИЙСКАЯ АКАДЕМИЯ СЕЛЬСКОХОЗЯЙСТВЕННЫХ НАУК</w:t>
      </w:r>
    </w:p>
    <w:p w:rsidR="00D206C0" w:rsidRPr="001E0DE2" w:rsidRDefault="00D206C0" w:rsidP="00D206C0">
      <w:pPr>
        <w:ind w:hanging="284"/>
        <w:jc w:val="center"/>
        <w:rPr>
          <w:b/>
          <w:sz w:val="32"/>
          <w:szCs w:val="32"/>
        </w:rPr>
      </w:pPr>
      <w:r w:rsidRPr="001E0DE2">
        <w:rPr>
          <w:b/>
          <w:sz w:val="32"/>
          <w:szCs w:val="32"/>
        </w:rPr>
        <w:t>ВСЕРОССИЙСКИЙ НИИ ЭКОНОМИКИ СЕЛЬСКОГО ХОЗЯЙСТВА</w:t>
      </w:r>
    </w:p>
    <w:p w:rsidR="00D206C0" w:rsidRDefault="00D206C0" w:rsidP="00D206C0">
      <w:pPr>
        <w:rPr>
          <w:sz w:val="32"/>
          <w:szCs w:val="28"/>
        </w:rPr>
      </w:pPr>
    </w:p>
    <w:p w:rsidR="002C3D04" w:rsidRPr="00EE524D" w:rsidRDefault="002C3D04" w:rsidP="00D206C0">
      <w:pPr>
        <w:rPr>
          <w:sz w:val="32"/>
          <w:szCs w:val="28"/>
        </w:rPr>
      </w:pPr>
    </w:p>
    <w:p w:rsidR="00D206C0" w:rsidRPr="00EE524D" w:rsidRDefault="00D206C0" w:rsidP="00D206C0">
      <w:pPr>
        <w:jc w:val="center"/>
        <w:rPr>
          <w:b/>
          <w:sz w:val="44"/>
          <w:szCs w:val="28"/>
        </w:rPr>
      </w:pPr>
      <w:r w:rsidRPr="00EE524D">
        <w:rPr>
          <w:b/>
          <w:sz w:val="44"/>
          <w:szCs w:val="28"/>
        </w:rPr>
        <w:t>И.Г. Ушачев</w:t>
      </w:r>
    </w:p>
    <w:p w:rsidR="00D206C0" w:rsidRPr="00EE524D" w:rsidRDefault="00D206C0" w:rsidP="00D206C0">
      <w:pPr>
        <w:jc w:val="center"/>
        <w:rPr>
          <w:sz w:val="32"/>
          <w:szCs w:val="28"/>
        </w:rPr>
      </w:pPr>
    </w:p>
    <w:p w:rsidR="00D206C0" w:rsidRPr="00EE524D" w:rsidRDefault="00D206C0" w:rsidP="00D206C0">
      <w:pPr>
        <w:jc w:val="center"/>
        <w:rPr>
          <w:i/>
          <w:sz w:val="32"/>
          <w:szCs w:val="28"/>
        </w:rPr>
      </w:pPr>
      <w:r w:rsidRPr="00EE524D">
        <w:rPr>
          <w:i/>
          <w:sz w:val="32"/>
          <w:szCs w:val="28"/>
        </w:rPr>
        <w:t>Вице-президент Российской академии сельскохозяйственных наук,</w:t>
      </w:r>
    </w:p>
    <w:p w:rsidR="00D206C0" w:rsidRPr="00EE524D" w:rsidRDefault="00D206C0" w:rsidP="00D206C0">
      <w:pPr>
        <w:jc w:val="center"/>
        <w:rPr>
          <w:i/>
          <w:sz w:val="32"/>
          <w:szCs w:val="28"/>
        </w:rPr>
      </w:pPr>
      <w:r w:rsidRPr="00EE524D">
        <w:rPr>
          <w:i/>
          <w:sz w:val="32"/>
          <w:szCs w:val="28"/>
        </w:rPr>
        <w:t>директор Всероссийского НИИ экономики сельского хозяйства,</w:t>
      </w:r>
    </w:p>
    <w:p w:rsidR="00D206C0" w:rsidRPr="00EE524D" w:rsidRDefault="00D206C0" w:rsidP="00D206C0">
      <w:pPr>
        <w:jc w:val="center"/>
        <w:rPr>
          <w:i/>
          <w:sz w:val="32"/>
          <w:szCs w:val="28"/>
        </w:rPr>
      </w:pPr>
      <w:r w:rsidRPr="00EE524D">
        <w:rPr>
          <w:i/>
          <w:sz w:val="32"/>
          <w:szCs w:val="28"/>
        </w:rPr>
        <w:t>академик Р</w:t>
      </w:r>
      <w:r w:rsidR="00B95400">
        <w:rPr>
          <w:i/>
          <w:sz w:val="32"/>
          <w:szCs w:val="28"/>
        </w:rPr>
        <w:t>АН</w:t>
      </w:r>
    </w:p>
    <w:p w:rsidR="00D206C0" w:rsidRPr="00EE524D" w:rsidRDefault="00D206C0" w:rsidP="00D206C0">
      <w:pPr>
        <w:jc w:val="both"/>
        <w:rPr>
          <w:sz w:val="32"/>
          <w:szCs w:val="28"/>
        </w:rPr>
      </w:pPr>
    </w:p>
    <w:p w:rsidR="006A487D" w:rsidRPr="00EE524D" w:rsidRDefault="006A487D" w:rsidP="00D206C0">
      <w:pPr>
        <w:jc w:val="both"/>
        <w:rPr>
          <w:sz w:val="32"/>
          <w:szCs w:val="28"/>
        </w:rPr>
      </w:pPr>
    </w:p>
    <w:p w:rsidR="00D206C0" w:rsidRPr="00EE524D" w:rsidRDefault="00D206C0" w:rsidP="00D206C0">
      <w:pPr>
        <w:jc w:val="both"/>
        <w:rPr>
          <w:sz w:val="32"/>
          <w:szCs w:val="28"/>
        </w:rPr>
      </w:pPr>
    </w:p>
    <w:p w:rsidR="00D206C0" w:rsidRPr="00EE524D" w:rsidRDefault="006A487D" w:rsidP="00D206C0">
      <w:pPr>
        <w:spacing w:line="312" w:lineRule="auto"/>
        <w:ind w:firstLine="709"/>
        <w:jc w:val="center"/>
        <w:rPr>
          <w:sz w:val="28"/>
          <w:szCs w:val="28"/>
        </w:rPr>
      </w:pPr>
      <w:r w:rsidRPr="00EE524D">
        <w:rPr>
          <w:b/>
          <w:bCs/>
          <w:sz w:val="44"/>
          <w:szCs w:val="28"/>
        </w:rPr>
        <w:t>Совершенствование экономического механизма в агропромышленном комплексе</w:t>
      </w:r>
    </w:p>
    <w:p w:rsidR="00D206C0" w:rsidRPr="00EE524D" w:rsidRDefault="00D206C0" w:rsidP="00D206C0">
      <w:pPr>
        <w:spacing w:line="312" w:lineRule="auto"/>
        <w:ind w:firstLine="709"/>
        <w:jc w:val="center"/>
        <w:rPr>
          <w:b/>
          <w:sz w:val="32"/>
          <w:szCs w:val="28"/>
        </w:rPr>
      </w:pPr>
    </w:p>
    <w:p w:rsidR="00D206C0" w:rsidRPr="00EE524D" w:rsidRDefault="00D206C0" w:rsidP="00D206C0">
      <w:pPr>
        <w:spacing w:line="312" w:lineRule="auto"/>
        <w:ind w:firstLine="709"/>
        <w:jc w:val="center"/>
        <w:rPr>
          <w:b/>
          <w:sz w:val="32"/>
          <w:szCs w:val="28"/>
        </w:rPr>
      </w:pPr>
    </w:p>
    <w:p w:rsidR="00D206C0" w:rsidRPr="00EE524D" w:rsidRDefault="00D206C0" w:rsidP="00D206C0">
      <w:pPr>
        <w:spacing w:line="312" w:lineRule="auto"/>
        <w:ind w:firstLine="709"/>
        <w:jc w:val="center"/>
        <w:rPr>
          <w:b/>
          <w:sz w:val="32"/>
          <w:szCs w:val="28"/>
        </w:rPr>
      </w:pPr>
    </w:p>
    <w:p w:rsidR="00D206C0" w:rsidRPr="00EE524D" w:rsidRDefault="00D206C0" w:rsidP="00D206C0">
      <w:pPr>
        <w:spacing w:line="312" w:lineRule="auto"/>
        <w:ind w:firstLine="709"/>
        <w:jc w:val="center"/>
        <w:rPr>
          <w:b/>
          <w:sz w:val="32"/>
          <w:szCs w:val="28"/>
        </w:rPr>
      </w:pPr>
    </w:p>
    <w:p w:rsidR="00D206C0" w:rsidRPr="00EE524D" w:rsidRDefault="006A487D" w:rsidP="00D206C0">
      <w:pPr>
        <w:spacing w:line="312" w:lineRule="auto"/>
        <w:ind w:firstLine="709"/>
        <w:jc w:val="center"/>
        <w:rPr>
          <w:sz w:val="32"/>
          <w:szCs w:val="28"/>
        </w:rPr>
      </w:pPr>
      <w:r w:rsidRPr="00EE524D">
        <w:rPr>
          <w:bCs/>
          <w:sz w:val="32"/>
          <w:szCs w:val="28"/>
        </w:rPr>
        <w:t>Всероссийская научно-практическая конференция «Экономическая эффективность и социальная значимость семейных фермерских хозяйств»</w:t>
      </w:r>
    </w:p>
    <w:p w:rsidR="00D206C0" w:rsidRPr="00EE524D" w:rsidRDefault="00D206C0" w:rsidP="00D206C0">
      <w:pPr>
        <w:spacing w:line="312" w:lineRule="auto"/>
        <w:ind w:firstLine="709"/>
        <w:jc w:val="center"/>
        <w:rPr>
          <w:bCs/>
          <w:sz w:val="32"/>
          <w:szCs w:val="28"/>
        </w:rPr>
      </w:pPr>
    </w:p>
    <w:p w:rsidR="00D206C0" w:rsidRPr="00EE524D" w:rsidRDefault="00D206C0" w:rsidP="00D206C0">
      <w:pPr>
        <w:spacing w:line="312" w:lineRule="auto"/>
        <w:ind w:firstLine="709"/>
        <w:jc w:val="center"/>
        <w:rPr>
          <w:bCs/>
          <w:sz w:val="32"/>
          <w:szCs w:val="28"/>
        </w:rPr>
      </w:pPr>
    </w:p>
    <w:p w:rsidR="00D206C0" w:rsidRPr="00EE524D" w:rsidRDefault="006A487D" w:rsidP="00E47267">
      <w:pPr>
        <w:spacing w:line="312" w:lineRule="auto"/>
        <w:jc w:val="center"/>
        <w:rPr>
          <w:b/>
          <w:bCs/>
          <w:sz w:val="32"/>
          <w:szCs w:val="28"/>
        </w:rPr>
      </w:pPr>
      <w:r w:rsidRPr="00EE524D">
        <w:rPr>
          <w:b/>
          <w:bCs/>
          <w:sz w:val="32"/>
          <w:szCs w:val="28"/>
        </w:rPr>
        <w:t>3</w:t>
      </w:r>
      <w:r w:rsidR="00D206C0" w:rsidRPr="00EE524D">
        <w:rPr>
          <w:b/>
          <w:bCs/>
          <w:sz w:val="32"/>
          <w:szCs w:val="28"/>
        </w:rPr>
        <w:t xml:space="preserve"> </w:t>
      </w:r>
      <w:r w:rsidRPr="00EE524D">
        <w:rPr>
          <w:b/>
          <w:bCs/>
          <w:sz w:val="32"/>
          <w:szCs w:val="28"/>
        </w:rPr>
        <w:t>декабря</w:t>
      </w:r>
      <w:r w:rsidR="00D206C0" w:rsidRPr="00EE524D">
        <w:rPr>
          <w:b/>
          <w:bCs/>
          <w:sz w:val="32"/>
          <w:szCs w:val="28"/>
        </w:rPr>
        <w:t xml:space="preserve"> 2013</w:t>
      </w:r>
    </w:p>
    <w:p w:rsidR="00D206C0" w:rsidRDefault="006A487D" w:rsidP="00E47267">
      <w:pPr>
        <w:spacing w:line="312" w:lineRule="auto"/>
        <w:jc w:val="center"/>
        <w:rPr>
          <w:b/>
          <w:bCs/>
          <w:sz w:val="32"/>
          <w:szCs w:val="28"/>
        </w:rPr>
      </w:pPr>
      <w:r w:rsidRPr="00EE524D">
        <w:rPr>
          <w:b/>
          <w:bCs/>
          <w:sz w:val="32"/>
          <w:szCs w:val="28"/>
        </w:rPr>
        <w:t>Москва</w:t>
      </w:r>
    </w:p>
    <w:p w:rsidR="002C3D04" w:rsidRPr="002D5E0C" w:rsidRDefault="002C3D04" w:rsidP="002C3D04">
      <w:pPr>
        <w:ind w:right="-185"/>
        <w:rPr>
          <w:sz w:val="28"/>
          <w:szCs w:val="28"/>
        </w:rPr>
      </w:pPr>
    </w:p>
    <w:p w:rsidR="002C3D04" w:rsidRPr="002D5E0C" w:rsidRDefault="002C3D04" w:rsidP="002C3D04">
      <w:pPr>
        <w:ind w:right="-185"/>
        <w:rPr>
          <w:sz w:val="28"/>
          <w:szCs w:val="28"/>
        </w:rPr>
      </w:pPr>
    </w:p>
    <w:p w:rsidR="002C3D04" w:rsidRPr="00EE524D" w:rsidRDefault="002C3D04" w:rsidP="002C3D04">
      <w:pPr>
        <w:ind w:right="-185"/>
        <w:rPr>
          <w:b/>
          <w:sz w:val="32"/>
          <w:szCs w:val="28"/>
        </w:rPr>
      </w:pPr>
      <w:r>
        <w:rPr>
          <w:sz w:val="32"/>
          <w:szCs w:val="28"/>
          <w:lang w:val="en-US"/>
        </w:rPr>
        <w:t>ISBN</w:t>
      </w:r>
      <w:r w:rsidRPr="002D5E0C">
        <w:rPr>
          <w:sz w:val="32"/>
          <w:szCs w:val="28"/>
        </w:rPr>
        <w:t xml:space="preserve"> </w:t>
      </w:r>
      <w:r>
        <w:rPr>
          <w:sz w:val="32"/>
          <w:szCs w:val="28"/>
        </w:rPr>
        <w:t>978-5-88371-055-0</w:t>
      </w:r>
    </w:p>
    <w:p w:rsidR="00D206C0" w:rsidRPr="00EE524D" w:rsidRDefault="00D206C0" w:rsidP="00EE524D">
      <w:pPr>
        <w:shd w:val="clear" w:color="auto" w:fill="FFFFFF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Pr="00EE524D">
        <w:rPr>
          <w:sz w:val="32"/>
          <w:szCs w:val="32"/>
        </w:rPr>
        <w:lastRenderedPageBreak/>
        <w:t xml:space="preserve">Уважаемые </w:t>
      </w:r>
      <w:r w:rsidR="00C56C92" w:rsidRPr="00EE524D">
        <w:rPr>
          <w:sz w:val="32"/>
          <w:szCs w:val="32"/>
        </w:rPr>
        <w:t>участники конференции</w:t>
      </w:r>
      <w:r w:rsidRPr="00EE524D">
        <w:rPr>
          <w:sz w:val="32"/>
          <w:szCs w:val="32"/>
        </w:rPr>
        <w:t>!</w:t>
      </w:r>
    </w:p>
    <w:p w:rsidR="001942F2" w:rsidRPr="00EE524D" w:rsidRDefault="001942F2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В качестве </w:t>
      </w:r>
      <w:r w:rsidR="00E47267" w:rsidRPr="00EE524D">
        <w:rPr>
          <w:sz w:val="32"/>
          <w:szCs w:val="32"/>
        </w:rPr>
        <w:t>предисловия</w:t>
      </w:r>
      <w:r w:rsidRPr="00EE524D">
        <w:rPr>
          <w:sz w:val="32"/>
          <w:szCs w:val="32"/>
        </w:rPr>
        <w:t xml:space="preserve"> к своему выступлению, я хотел бы </w:t>
      </w:r>
      <w:r w:rsidR="007A2CDE" w:rsidRPr="00EE524D">
        <w:rPr>
          <w:sz w:val="32"/>
          <w:szCs w:val="32"/>
        </w:rPr>
        <w:t>сказать всего несколько слов</w:t>
      </w:r>
      <w:r w:rsidRPr="00EE524D">
        <w:rPr>
          <w:sz w:val="32"/>
          <w:szCs w:val="32"/>
        </w:rPr>
        <w:t>: «Российскому фермеру говорят: вам дали полную свободу, сегодня открытый рынок – зарабатывайте, конкурируйте, пожалуйста, на внутреннем и, если хотите, на мировом рынке, благо, что вступили в ВТО. Одно только забыли</w:t>
      </w:r>
      <w:r w:rsidR="00CA1602">
        <w:rPr>
          <w:sz w:val="32"/>
          <w:szCs w:val="32"/>
        </w:rPr>
        <w:t xml:space="preserve"> сказать</w:t>
      </w:r>
      <w:r w:rsidRPr="00EE524D">
        <w:rPr>
          <w:sz w:val="32"/>
          <w:szCs w:val="32"/>
        </w:rPr>
        <w:t>, что для равной конкуренции нужна равная государственная поддержка с теми, с кем мы конкурируем!».</w:t>
      </w:r>
    </w:p>
    <w:p w:rsidR="00210360" w:rsidRPr="00EE524D" w:rsidRDefault="00330156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Теперь по существу темы доклада.</w:t>
      </w:r>
      <w:r w:rsidR="00210360" w:rsidRPr="00EE524D">
        <w:rPr>
          <w:sz w:val="32"/>
          <w:szCs w:val="32"/>
        </w:rPr>
        <w:t xml:space="preserve"> Несмотря на то, что сегодня уже много было сказано о значимости крестьянских фермерских хозяйств, я хотел бы </w:t>
      </w:r>
      <w:r w:rsidR="004733F9" w:rsidRPr="00EE524D">
        <w:rPr>
          <w:sz w:val="32"/>
          <w:szCs w:val="32"/>
        </w:rPr>
        <w:t xml:space="preserve">еще раз </w:t>
      </w:r>
      <w:r w:rsidR="00210360" w:rsidRPr="00EE524D">
        <w:rPr>
          <w:sz w:val="32"/>
          <w:szCs w:val="32"/>
        </w:rPr>
        <w:t>подчеркнуть значение этого сектора для экономики страны в трех направлениях:</w:t>
      </w:r>
    </w:p>
    <w:p w:rsidR="00210360" w:rsidRPr="00EE524D" w:rsidRDefault="00210360" w:rsidP="00EE524D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экономическое</w:t>
      </w:r>
    </w:p>
    <w:p w:rsidR="00210360" w:rsidRPr="00EE524D" w:rsidRDefault="00210360" w:rsidP="00EE524D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социально-территориальное</w:t>
      </w:r>
    </w:p>
    <w:p w:rsidR="00210360" w:rsidRPr="00EE524D" w:rsidRDefault="00210360" w:rsidP="00EE524D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экологическое.</w:t>
      </w:r>
    </w:p>
    <w:p w:rsidR="008350C7" w:rsidRPr="00EE524D" w:rsidRDefault="00210360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Говоря о </w:t>
      </w:r>
      <w:r w:rsidRPr="00EE524D">
        <w:rPr>
          <w:b/>
          <w:sz w:val="32"/>
          <w:szCs w:val="32"/>
        </w:rPr>
        <w:t>первом</w:t>
      </w:r>
      <w:r w:rsidRPr="00EE524D">
        <w:rPr>
          <w:sz w:val="32"/>
          <w:szCs w:val="32"/>
        </w:rPr>
        <w:t xml:space="preserve"> направлении</w:t>
      </w:r>
      <w:r w:rsidR="00566CB4" w:rsidRPr="00EE524D">
        <w:rPr>
          <w:sz w:val="32"/>
          <w:szCs w:val="32"/>
        </w:rPr>
        <w:t xml:space="preserve"> – </w:t>
      </w:r>
      <w:r w:rsidR="00566CB4" w:rsidRPr="00EE524D">
        <w:rPr>
          <w:b/>
          <w:sz w:val="32"/>
          <w:szCs w:val="32"/>
        </w:rPr>
        <w:t>экономическом</w:t>
      </w:r>
      <w:r w:rsidRPr="00EE524D">
        <w:rPr>
          <w:sz w:val="32"/>
          <w:szCs w:val="32"/>
        </w:rPr>
        <w:t xml:space="preserve">, несмотря на то, что сейчас фермерские хозяйства производят 9% валовой продукции сельского хозяйства, </w:t>
      </w:r>
      <w:r w:rsidR="008B3691" w:rsidRPr="00EE524D">
        <w:rPr>
          <w:sz w:val="32"/>
          <w:szCs w:val="32"/>
        </w:rPr>
        <w:t xml:space="preserve">их роль в производстве продукции трудно переоценить. Достаточно того, что они дают каждую пятую тонну зерна и </w:t>
      </w:r>
      <w:r w:rsidR="00566CB4" w:rsidRPr="00EE524D">
        <w:rPr>
          <w:sz w:val="32"/>
          <w:szCs w:val="32"/>
        </w:rPr>
        <w:t xml:space="preserve">каждую четвертую – </w:t>
      </w:r>
      <w:r w:rsidR="008B3691" w:rsidRPr="00EE524D">
        <w:rPr>
          <w:sz w:val="32"/>
          <w:szCs w:val="32"/>
        </w:rPr>
        <w:t xml:space="preserve">подсолнечника. </w:t>
      </w:r>
      <w:r w:rsidR="00544CC4" w:rsidRPr="00EE524D">
        <w:rPr>
          <w:sz w:val="32"/>
          <w:szCs w:val="32"/>
        </w:rPr>
        <w:t xml:space="preserve">Темпы их роста за последние 12 лет составили более 13% по сравнению с примерно 3% в целом по </w:t>
      </w:r>
      <w:r w:rsidR="00CA1602">
        <w:rPr>
          <w:sz w:val="32"/>
          <w:szCs w:val="32"/>
        </w:rPr>
        <w:t xml:space="preserve">сельскохозяйственной </w:t>
      </w:r>
      <w:r w:rsidR="00544CC4" w:rsidRPr="00EE524D">
        <w:rPr>
          <w:sz w:val="32"/>
          <w:szCs w:val="32"/>
        </w:rPr>
        <w:t>отрасли.</w:t>
      </w:r>
      <w:r w:rsidR="008350C7" w:rsidRPr="00EE524D">
        <w:rPr>
          <w:sz w:val="32"/>
          <w:szCs w:val="32"/>
        </w:rPr>
        <w:t xml:space="preserve"> </w:t>
      </w:r>
      <w:r w:rsidR="008B3691" w:rsidRPr="00EE524D">
        <w:rPr>
          <w:sz w:val="32"/>
          <w:szCs w:val="32"/>
        </w:rPr>
        <w:t>А в перспективе, возможно, именно они могут заместить</w:t>
      </w:r>
      <w:r w:rsidR="00FD6DFB" w:rsidRPr="00EE524D">
        <w:rPr>
          <w:sz w:val="32"/>
          <w:szCs w:val="32"/>
        </w:rPr>
        <w:t xml:space="preserve"> сокращающееся производство </w:t>
      </w:r>
      <w:r w:rsidR="0026380F" w:rsidRPr="00EE524D">
        <w:rPr>
          <w:sz w:val="32"/>
          <w:szCs w:val="32"/>
        </w:rPr>
        <w:lastRenderedPageBreak/>
        <w:t>растениеводческой и животноводческой продукции личных подсобных хозяйств</w:t>
      </w:r>
      <w:r w:rsidR="00566CB4" w:rsidRPr="00EE524D">
        <w:rPr>
          <w:sz w:val="32"/>
          <w:szCs w:val="32"/>
        </w:rPr>
        <w:t>.</w:t>
      </w:r>
    </w:p>
    <w:p w:rsidR="00210360" w:rsidRPr="00EE524D" w:rsidRDefault="0026380F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Не менее значимой является роль фермерских хозяйств в </w:t>
      </w:r>
      <w:r w:rsidRPr="00EE524D">
        <w:rPr>
          <w:b/>
          <w:sz w:val="32"/>
          <w:szCs w:val="32"/>
        </w:rPr>
        <w:t>социально-территориальном</w:t>
      </w:r>
      <w:r w:rsidRPr="00EE524D">
        <w:rPr>
          <w:sz w:val="32"/>
          <w:szCs w:val="32"/>
        </w:rPr>
        <w:t xml:space="preserve"> развитии села. Прежде всего, это рабочие места, сохранени</w:t>
      </w:r>
      <w:r w:rsidR="00051F19" w:rsidRPr="00EE524D">
        <w:rPr>
          <w:sz w:val="32"/>
          <w:szCs w:val="32"/>
        </w:rPr>
        <w:t>е</w:t>
      </w:r>
      <w:r w:rsidRPr="00EE524D">
        <w:rPr>
          <w:sz w:val="32"/>
          <w:szCs w:val="32"/>
        </w:rPr>
        <w:t xml:space="preserve"> сельских поселений и крестьянского генофонда</w:t>
      </w:r>
      <w:r w:rsidR="00051F19" w:rsidRPr="00EE524D">
        <w:rPr>
          <w:sz w:val="32"/>
          <w:szCs w:val="32"/>
        </w:rPr>
        <w:t xml:space="preserve">, </w:t>
      </w:r>
      <w:r w:rsidR="00CA1602">
        <w:rPr>
          <w:sz w:val="32"/>
          <w:szCs w:val="32"/>
        </w:rPr>
        <w:t xml:space="preserve">народной культуры, </w:t>
      </w:r>
      <w:r w:rsidR="00051F19" w:rsidRPr="00EE524D">
        <w:rPr>
          <w:sz w:val="32"/>
          <w:szCs w:val="32"/>
        </w:rPr>
        <w:t>вовлечение наиболее активной части сельского населения в развитие предпринимательства</w:t>
      </w:r>
      <w:r w:rsidRPr="00EE524D">
        <w:rPr>
          <w:sz w:val="32"/>
          <w:szCs w:val="32"/>
        </w:rPr>
        <w:t xml:space="preserve">. </w:t>
      </w:r>
    </w:p>
    <w:p w:rsidR="00051F19" w:rsidRPr="00EE524D" w:rsidRDefault="00051F19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Что касается </w:t>
      </w:r>
      <w:r w:rsidRPr="00EE524D">
        <w:rPr>
          <w:b/>
          <w:sz w:val="32"/>
          <w:szCs w:val="32"/>
        </w:rPr>
        <w:t>третьего</w:t>
      </w:r>
      <w:r w:rsidRPr="00EE524D">
        <w:rPr>
          <w:sz w:val="32"/>
          <w:szCs w:val="32"/>
        </w:rPr>
        <w:t xml:space="preserve"> направления – </w:t>
      </w:r>
      <w:r w:rsidRPr="00EE524D">
        <w:rPr>
          <w:b/>
          <w:sz w:val="32"/>
          <w:szCs w:val="32"/>
        </w:rPr>
        <w:t>экологического</w:t>
      </w:r>
      <w:r w:rsidRPr="00EE524D">
        <w:rPr>
          <w:sz w:val="32"/>
          <w:szCs w:val="32"/>
        </w:rPr>
        <w:t>, то здесь хотелось бы подчеркнуть, что именно у фермерских хозяйств имеется наибольший потенциал развития производства эк</w:t>
      </w:r>
      <w:r w:rsidR="00566CB4" w:rsidRPr="00EE524D">
        <w:rPr>
          <w:sz w:val="32"/>
          <w:szCs w:val="32"/>
        </w:rPr>
        <w:t>ологически</w:t>
      </w:r>
      <w:r w:rsidRPr="00EE524D">
        <w:rPr>
          <w:sz w:val="32"/>
          <w:szCs w:val="32"/>
        </w:rPr>
        <w:t xml:space="preserve"> чистой продукции и органического земледелия, значение которого, на наш взгляд, будет возрастать. </w:t>
      </w:r>
    </w:p>
    <w:p w:rsidR="00051F19" w:rsidRPr="00EE524D" w:rsidRDefault="00163F01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Прежде чем говорить об экономическом механизме в агропромышленном комплексе, хотелось бы отметить некоторые </w:t>
      </w:r>
      <w:r w:rsidR="00DE67DC" w:rsidRPr="00EE524D">
        <w:rPr>
          <w:sz w:val="32"/>
          <w:szCs w:val="32"/>
        </w:rPr>
        <w:t>особенности</w:t>
      </w:r>
      <w:r w:rsidRPr="00EE524D">
        <w:rPr>
          <w:sz w:val="32"/>
          <w:szCs w:val="32"/>
        </w:rPr>
        <w:t xml:space="preserve"> в развитии крестьянских </w:t>
      </w:r>
      <w:r w:rsidR="00566CB4" w:rsidRPr="00EE524D">
        <w:rPr>
          <w:sz w:val="32"/>
          <w:szCs w:val="32"/>
        </w:rPr>
        <w:t>(</w:t>
      </w:r>
      <w:r w:rsidRPr="00EE524D">
        <w:rPr>
          <w:sz w:val="32"/>
          <w:szCs w:val="32"/>
        </w:rPr>
        <w:t>фермерских</w:t>
      </w:r>
      <w:r w:rsidR="00566CB4" w:rsidRPr="00EE524D">
        <w:rPr>
          <w:sz w:val="32"/>
          <w:szCs w:val="32"/>
        </w:rPr>
        <w:t>)</w:t>
      </w:r>
      <w:r w:rsidRPr="00EE524D">
        <w:rPr>
          <w:sz w:val="32"/>
          <w:szCs w:val="32"/>
        </w:rPr>
        <w:t xml:space="preserve"> хозяйств. </w:t>
      </w:r>
    </w:p>
    <w:p w:rsidR="003F79A7" w:rsidRPr="00EE524D" w:rsidRDefault="003F79A7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  <w:u w:val="single"/>
        </w:rPr>
        <w:t>Во-первых</w:t>
      </w:r>
      <w:r w:rsidRPr="00EE524D">
        <w:rPr>
          <w:sz w:val="32"/>
          <w:szCs w:val="32"/>
        </w:rPr>
        <w:t xml:space="preserve">, </w:t>
      </w:r>
      <w:r w:rsidR="00566CB4" w:rsidRPr="00EE524D">
        <w:rPr>
          <w:sz w:val="32"/>
          <w:szCs w:val="32"/>
        </w:rPr>
        <w:t>эти хозяйства</w:t>
      </w:r>
      <w:r w:rsidRPr="00EE524D">
        <w:rPr>
          <w:sz w:val="32"/>
          <w:szCs w:val="32"/>
        </w:rPr>
        <w:t xml:space="preserve"> специализируются в основном на растениеводческой продукции, поэтому динамика их производства в большей степени подвержена колебаниям, связанным с природными рисками. Что же касается продукции животноводства, то их удельный вес в производстве мяса составляет немногим более 3%, молока – 5%. </w:t>
      </w:r>
      <w:r w:rsidR="00DE67DC" w:rsidRPr="00EE524D">
        <w:rPr>
          <w:sz w:val="32"/>
          <w:szCs w:val="32"/>
        </w:rPr>
        <w:t xml:space="preserve">И </w:t>
      </w:r>
      <w:r w:rsidR="00566CB4" w:rsidRPr="00EE524D">
        <w:rPr>
          <w:sz w:val="32"/>
          <w:szCs w:val="32"/>
        </w:rPr>
        <w:t xml:space="preserve">все </w:t>
      </w:r>
      <w:r w:rsidR="00DE67DC" w:rsidRPr="00EE524D">
        <w:rPr>
          <w:sz w:val="32"/>
          <w:szCs w:val="32"/>
        </w:rPr>
        <w:t xml:space="preserve">это объяснимо, ведь известно, что производство продукции </w:t>
      </w:r>
      <w:r w:rsidR="00DE67DC" w:rsidRPr="00EE524D">
        <w:rPr>
          <w:sz w:val="32"/>
          <w:szCs w:val="32"/>
        </w:rPr>
        <w:lastRenderedPageBreak/>
        <w:t>животноводства более сложно технологически и требует б</w:t>
      </w:r>
      <w:r w:rsidR="0010668C" w:rsidRPr="0010668C">
        <w:rPr>
          <w:sz w:val="32"/>
          <w:szCs w:val="32"/>
        </w:rPr>
        <w:t>о</w:t>
      </w:r>
      <w:r w:rsidR="00DE67DC" w:rsidRPr="00EE524D">
        <w:rPr>
          <w:sz w:val="32"/>
          <w:szCs w:val="32"/>
        </w:rPr>
        <w:t xml:space="preserve">льших сроков окупаемости. </w:t>
      </w:r>
    </w:p>
    <w:p w:rsidR="00210360" w:rsidRPr="00EE524D" w:rsidRDefault="00DE67DC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  <w:u w:val="single"/>
        </w:rPr>
        <w:t>Во-вторых</w:t>
      </w:r>
      <w:r w:rsidRPr="00EE524D">
        <w:rPr>
          <w:sz w:val="32"/>
          <w:szCs w:val="32"/>
        </w:rPr>
        <w:t xml:space="preserve">, более сильная чувствительность </w:t>
      </w:r>
      <w:r w:rsidR="00566CB4" w:rsidRPr="00EE524D">
        <w:rPr>
          <w:sz w:val="32"/>
          <w:szCs w:val="32"/>
        </w:rPr>
        <w:t xml:space="preserve">фермеров </w:t>
      </w:r>
      <w:r w:rsidRPr="00EE524D">
        <w:rPr>
          <w:sz w:val="32"/>
          <w:szCs w:val="32"/>
        </w:rPr>
        <w:t xml:space="preserve">к доходности производства тех или иных видов продукции, что в определенной мере отражается на их специализации. </w:t>
      </w:r>
    </w:p>
    <w:p w:rsidR="001942F2" w:rsidRPr="00EE524D" w:rsidRDefault="00DE67DC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  <w:u w:val="single"/>
        </w:rPr>
        <w:t>В-третьих</w:t>
      </w:r>
      <w:r w:rsidRPr="00EE524D">
        <w:rPr>
          <w:sz w:val="32"/>
          <w:szCs w:val="32"/>
        </w:rPr>
        <w:t>, отсутствие, как правило, организованной цепочки доведения своей продукции до конечного потребителя.</w:t>
      </w:r>
    </w:p>
    <w:p w:rsidR="000638C1" w:rsidRPr="00EE524D" w:rsidRDefault="000638C1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Поэтому для повышения эффективности деятельности фермерских хозяйств </w:t>
      </w:r>
      <w:r w:rsidR="0090778A" w:rsidRPr="00EE524D">
        <w:rPr>
          <w:sz w:val="32"/>
          <w:szCs w:val="32"/>
        </w:rPr>
        <w:t xml:space="preserve">особое значение </w:t>
      </w:r>
      <w:r w:rsidRPr="00EE524D">
        <w:rPr>
          <w:sz w:val="32"/>
          <w:szCs w:val="32"/>
        </w:rPr>
        <w:t xml:space="preserve">приобретает совершенствование экономического механизма хозяйствования. У нас в стране он </w:t>
      </w:r>
      <w:r w:rsidR="00340756" w:rsidRPr="00EE524D">
        <w:rPr>
          <w:sz w:val="32"/>
          <w:szCs w:val="32"/>
        </w:rPr>
        <w:t>во многом общий</w:t>
      </w:r>
      <w:r w:rsidRPr="00EE524D">
        <w:rPr>
          <w:sz w:val="32"/>
          <w:szCs w:val="32"/>
        </w:rPr>
        <w:t xml:space="preserve"> как для сельскохозяйственных организаций, так и для крестьянских </w:t>
      </w:r>
      <w:r w:rsidR="000C3EE4" w:rsidRPr="00EE524D">
        <w:rPr>
          <w:sz w:val="32"/>
          <w:szCs w:val="32"/>
        </w:rPr>
        <w:t>(</w:t>
      </w:r>
      <w:r w:rsidRPr="00EE524D">
        <w:rPr>
          <w:sz w:val="32"/>
          <w:szCs w:val="32"/>
        </w:rPr>
        <w:t>фермерских</w:t>
      </w:r>
      <w:r w:rsidR="000C3EE4" w:rsidRPr="00EE524D">
        <w:rPr>
          <w:sz w:val="32"/>
          <w:szCs w:val="32"/>
        </w:rPr>
        <w:t>)</w:t>
      </w:r>
      <w:r w:rsidRPr="00EE524D">
        <w:rPr>
          <w:sz w:val="32"/>
          <w:szCs w:val="32"/>
        </w:rPr>
        <w:t xml:space="preserve"> хозяйств.</w:t>
      </w:r>
      <w:r w:rsidR="0090778A" w:rsidRPr="00EE524D">
        <w:rPr>
          <w:sz w:val="32"/>
          <w:szCs w:val="32"/>
        </w:rPr>
        <w:t xml:space="preserve"> </w:t>
      </w:r>
      <w:r w:rsidRPr="00EE524D">
        <w:rPr>
          <w:sz w:val="32"/>
          <w:szCs w:val="32"/>
        </w:rPr>
        <w:t>Я имею в виду</w:t>
      </w:r>
      <w:r w:rsidR="000C3EE4" w:rsidRPr="00EE524D">
        <w:rPr>
          <w:sz w:val="32"/>
          <w:szCs w:val="32"/>
        </w:rPr>
        <w:t>, прежде всего,</w:t>
      </w:r>
      <w:r w:rsidRPr="00EE524D">
        <w:rPr>
          <w:sz w:val="32"/>
          <w:szCs w:val="32"/>
        </w:rPr>
        <w:t xml:space="preserve"> систем</w:t>
      </w:r>
      <w:r w:rsidR="0090778A" w:rsidRPr="00EE524D">
        <w:rPr>
          <w:sz w:val="32"/>
          <w:szCs w:val="32"/>
        </w:rPr>
        <w:t>у</w:t>
      </w:r>
      <w:r w:rsidRPr="00EE524D">
        <w:rPr>
          <w:sz w:val="32"/>
          <w:szCs w:val="32"/>
        </w:rPr>
        <w:t xml:space="preserve"> субсидирования, страхования, </w:t>
      </w:r>
      <w:r w:rsidR="0090778A" w:rsidRPr="00EE524D">
        <w:rPr>
          <w:sz w:val="32"/>
          <w:szCs w:val="32"/>
        </w:rPr>
        <w:t>ценообразования и кредитования.</w:t>
      </w:r>
    </w:p>
    <w:p w:rsidR="000638C1" w:rsidRPr="00EE524D" w:rsidRDefault="000C3EE4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Практика показала, что он </w:t>
      </w:r>
      <w:r w:rsidR="00544CC4" w:rsidRPr="00EE524D">
        <w:rPr>
          <w:sz w:val="32"/>
          <w:szCs w:val="32"/>
        </w:rPr>
        <w:t xml:space="preserve">далеко </w:t>
      </w:r>
      <w:r w:rsidRPr="00EE524D">
        <w:rPr>
          <w:sz w:val="32"/>
          <w:szCs w:val="32"/>
        </w:rPr>
        <w:t xml:space="preserve">несовершенен и не обеспечивает высоких и устойчивых темпов развития </w:t>
      </w:r>
      <w:r w:rsidR="008350C7" w:rsidRPr="00EE524D">
        <w:rPr>
          <w:sz w:val="32"/>
          <w:szCs w:val="32"/>
        </w:rPr>
        <w:t>сельского хозяйства</w:t>
      </w:r>
      <w:r w:rsidR="00340756" w:rsidRPr="00EE524D">
        <w:rPr>
          <w:sz w:val="32"/>
          <w:szCs w:val="32"/>
        </w:rPr>
        <w:t xml:space="preserve">. </w:t>
      </w:r>
      <w:r w:rsidR="00F03531" w:rsidRPr="00F03531">
        <w:rPr>
          <w:sz w:val="32"/>
          <w:szCs w:val="32"/>
        </w:rPr>
        <w:t>Если объективно оценивать аграрную политику нашего государства, то на самом деле используемый экономический механизм, малоэффективная финансовая, инфраструктурная, земельная и социальная политика привели к тому, что из 12 основных показателей (индикаторов) первой Государственной программы не были выполнены 10. Это и предопределило современное состояние отрасли, которое никак нельзя охарактеризовать, за исключением отдельных подотраслей, как удовлетворительное.</w:t>
      </w:r>
    </w:p>
    <w:p w:rsidR="00351943" w:rsidRPr="00EE524D" w:rsidRDefault="003D70D3" w:rsidP="00EE524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Вот почему в</w:t>
      </w:r>
      <w:r w:rsidR="00544CC4" w:rsidRPr="00EE524D">
        <w:rPr>
          <w:sz w:val="32"/>
          <w:szCs w:val="32"/>
        </w:rPr>
        <w:t xml:space="preserve"> целом объем продукции сельского хозяйства (в сопоставимых ценах) остается ниже, чем в дореформенном 1990 году на 15,4%.</w:t>
      </w:r>
    </w:p>
    <w:p w:rsidR="00351943" w:rsidRPr="00EE524D" w:rsidRDefault="00351943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Об этом свидетельствует динамика, например, валового сбора зерна. За пореформенный период каждый второй год валовой сбор зерна был менее 80 млн т, а в среднем за 2008-2012 гг. было собрано 86,3 млн т, что на четверть меньше, чем в 1990 г. и сравнимо с его производством в 1972 г.</w:t>
      </w:r>
    </w:p>
    <w:p w:rsidR="00351943" w:rsidRPr="00EE524D" w:rsidRDefault="00351943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Производство молока в 2012 г. составило 31,8</w:t>
      </w:r>
      <w:r w:rsidR="00020E14" w:rsidRPr="00EE524D">
        <w:rPr>
          <w:sz w:val="32"/>
          <w:szCs w:val="32"/>
        </w:rPr>
        <w:t xml:space="preserve"> </w:t>
      </w:r>
      <w:r w:rsidRPr="00EE524D">
        <w:rPr>
          <w:sz w:val="32"/>
          <w:szCs w:val="32"/>
        </w:rPr>
        <w:t>млн т, что в 1,7 раза меньше, чем в 1990 г.</w:t>
      </w:r>
      <w:r w:rsidR="00020E14" w:rsidRPr="00EE524D">
        <w:rPr>
          <w:sz w:val="32"/>
          <w:szCs w:val="32"/>
        </w:rPr>
        <w:t>, или на уровне далекого 1957 г., а в текущем году снизится еще примерно на миллион тонн.</w:t>
      </w:r>
    </w:p>
    <w:p w:rsidR="00351943" w:rsidRPr="00EE524D" w:rsidRDefault="00351943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Высокие темпы прироста производства свинины и мяса птицы в последние годы не смогли компенсировать его спада в скотоводстве и овцеводстве. В результате производство отечественного мяса всех видов в 2012 г. достигло лишь уровня 1983 г., а в пересчете на душу населения составило 56 кг, что меньше, чем, например, в Китае, население которого на порядок превышает его численность в России.</w:t>
      </w:r>
      <w:r w:rsidR="00020E14" w:rsidRPr="00EE524D">
        <w:rPr>
          <w:sz w:val="32"/>
          <w:szCs w:val="32"/>
        </w:rPr>
        <w:t xml:space="preserve"> </w:t>
      </w:r>
    </w:p>
    <w:p w:rsidR="00020E14" w:rsidRPr="00EE524D" w:rsidRDefault="00020E14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Причиной такого положения дел в значительной степени являются неравные условия конкуренции для отечественных и зарубежных сельхозтоваропроизводителей, связанные как с объемами оказываемой государственной поддержки, так и с макроэкономическими условиями хозяйствования. 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В странах-конкурентах России на агропродовольственном рынке существенно лучше экономические условия функционирования сельскохозяйственных </w:t>
      </w:r>
      <w:r w:rsidRPr="00EE524D">
        <w:rPr>
          <w:sz w:val="32"/>
          <w:szCs w:val="32"/>
        </w:rPr>
        <w:lastRenderedPageBreak/>
        <w:t>товаропроизводителей, в том числе цены на реализуемую продукцию, материально-технические ресурсы, процентные ставки по кредитам, даже с учетом их частичного субсидирования в России</w:t>
      </w:r>
      <w:r w:rsidR="00EE524D">
        <w:rPr>
          <w:sz w:val="32"/>
          <w:szCs w:val="32"/>
        </w:rPr>
        <w:t xml:space="preserve"> (рисунок 1)</w:t>
      </w:r>
      <w:r w:rsidRPr="00EE524D">
        <w:rPr>
          <w:sz w:val="32"/>
          <w:szCs w:val="32"/>
        </w:rPr>
        <w:t>.</w:t>
      </w:r>
    </w:p>
    <w:p w:rsidR="00351943" w:rsidRDefault="002C5687" w:rsidP="00EE524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05275" cy="2628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4D" w:rsidRPr="00EE524D" w:rsidRDefault="00EE524D" w:rsidP="00D17F9A">
      <w:pPr>
        <w:spacing w:line="276" w:lineRule="auto"/>
        <w:jc w:val="center"/>
        <w:rPr>
          <w:sz w:val="32"/>
          <w:szCs w:val="32"/>
        </w:rPr>
      </w:pPr>
      <w:r w:rsidRPr="00EE524D">
        <w:rPr>
          <w:sz w:val="32"/>
          <w:szCs w:val="32"/>
        </w:rPr>
        <w:t>Рис.</w:t>
      </w:r>
      <w:r>
        <w:rPr>
          <w:sz w:val="32"/>
          <w:szCs w:val="32"/>
        </w:rPr>
        <w:t xml:space="preserve"> </w:t>
      </w:r>
      <w:r w:rsidRPr="00EE524D">
        <w:rPr>
          <w:sz w:val="32"/>
          <w:szCs w:val="32"/>
        </w:rPr>
        <w:t>1. Средняя процентная ставка по кредитам для сельскохозяйственных товаропроизводителей, %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Несмотря на то, что в настоящее время на субсидирование процентных ставок по банковским кредитам направляется около 65% всех трансфертов федерального бюджета, предусмотренных на развитие сельского хозяйства, заемные средства с государственной поддержкой были доступны лишь 1/3 сельскохозяйственных организаций.</w:t>
      </w:r>
      <w:r w:rsidR="00A0710B" w:rsidRPr="00EE524D">
        <w:rPr>
          <w:sz w:val="32"/>
          <w:szCs w:val="32"/>
        </w:rPr>
        <w:t xml:space="preserve"> Видимо, не лучше обстоит дело </w:t>
      </w:r>
      <w:r w:rsidR="00D073C6" w:rsidRPr="00EE524D">
        <w:rPr>
          <w:sz w:val="32"/>
          <w:szCs w:val="32"/>
        </w:rPr>
        <w:t xml:space="preserve">и </w:t>
      </w:r>
      <w:r w:rsidR="00A0710B" w:rsidRPr="00EE524D">
        <w:rPr>
          <w:sz w:val="32"/>
          <w:szCs w:val="32"/>
        </w:rPr>
        <w:t>с кредитованием крестьянск</w:t>
      </w:r>
      <w:r w:rsidR="00ED6186" w:rsidRPr="00EE524D">
        <w:rPr>
          <w:sz w:val="32"/>
          <w:szCs w:val="32"/>
        </w:rPr>
        <w:t>их (</w:t>
      </w:r>
      <w:r w:rsidR="00A0710B" w:rsidRPr="00EE524D">
        <w:rPr>
          <w:sz w:val="32"/>
          <w:szCs w:val="32"/>
        </w:rPr>
        <w:t>фермерских</w:t>
      </w:r>
      <w:r w:rsidR="00ED6186" w:rsidRPr="00EE524D">
        <w:rPr>
          <w:sz w:val="32"/>
          <w:szCs w:val="32"/>
        </w:rPr>
        <w:t>)</w:t>
      </w:r>
      <w:r w:rsidR="00A0710B" w:rsidRPr="00EE524D">
        <w:rPr>
          <w:sz w:val="32"/>
          <w:szCs w:val="32"/>
        </w:rPr>
        <w:t xml:space="preserve"> хозяйств.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Но даже те хозяйства, которые смогли взять кредит, не могут гарантировать, что проект будет окупаемым: цены на производственные ресурсы, как правило, растут быстрее, чем цены на сельскохозяйственную продукцию, в результате чего </w:t>
      </w:r>
      <w:r w:rsidRPr="00EE524D">
        <w:rPr>
          <w:sz w:val="32"/>
          <w:szCs w:val="32"/>
        </w:rPr>
        <w:lastRenderedPageBreak/>
        <w:t>их уровень не обеспечивает доходность сельскохозяйственного производства</w:t>
      </w:r>
      <w:r w:rsidR="00EE524D">
        <w:rPr>
          <w:sz w:val="32"/>
          <w:szCs w:val="32"/>
        </w:rPr>
        <w:t xml:space="preserve"> (рисунок 2)</w:t>
      </w:r>
      <w:r w:rsidRPr="00EE524D">
        <w:rPr>
          <w:sz w:val="32"/>
          <w:szCs w:val="32"/>
        </w:rPr>
        <w:t>.</w:t>
      </w:r>
    </w:p>
    <w:p w:rsidR="00351943" w:rsidRDefault="002C5687" w:rsidP="00EE524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90925" cy="2333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4D" w:rsidRDefault="00EE524D" w:rsidP="00D17F9A">
      <w:pPr>
        <w:spacing w:line="276" w:lineRule="auto"/>
        <w:ind w:firstLine="567"/>
        <w:jc w:val="center"/>
        <w:rPr>
          <w:sz w:val="32"/>
          <w:szCs w:val="32"/>
        </w:rPr>
      </w:pPr>
      <w:r w:rsidRPr="00EE524D">
        <w:rPr>
          <w:sz w:val="32"/>
          <w:szCs w:val="32"/>
        </w:rPr>
        <w:t>Рис.</w:t>
      </w:r>
      <w:r>
        <w:rPr>
          <w:sz w:val="32"/>
          <w:szCs w:val="32"/>
        </w:rPr>
        <w:t xml:space="preserve"> </w:t>
      </w:r>
      <w:r w:rsidRPr="00EE524D">
        <w:rPr>
          <w:sz w:val="32"/>
          <w:szCs w:val="32"/>
        </w:rPr>
        <w:t>2. Рост цен производителей за 2000-2012 гг., раз</w:t>
      </w:r>
    </w:p>
    <w:p w:rsidR="00EE524D" w:rsidRPr="007C4900" w:rsidRDefault="00EE524D" w:rsidP="00D17F9A">
      <w:pPr>
        <w:spacing w:line="276" w:lineRule="auto"/>
        <w:ind w:firstLine="567"/>
        <w:jc w:val="center"/>
        <w:rPr>
          <w:sz w:val="28"/>
          <w:szCs w:val="32"/>
        </w:rPr>
      </w:pPr>
      <w:r w:rsidRPr="007C4900">
        <w:rPr>
          <w:sz w:val="28"/>
          <w:szCs w:val="32"/>
        </w:rPr>
        <w:t>Источник: расчет на основе данных Росстата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Как показывает анализ цен реализации отдельных продовольственных товаров по цепочке производитель-переработчик-продавец доля сельскохозяйственных товаропроизводителей в конечной (розничной) цене продовольствия колеблется на уровне 30%</w:t>
      </w:r>
      <w:r w:rsidR="00EE524D">
        <w:rPr>
          <w:sz w:val="32"/>
          <w:szCs w:val="32"/>
        </w:rPr>
        <w:t xml:space="preserve"> (рисунок 3)</w:t>
      </w:r>
      <w:r w:rsidRPr="00EE524D">
        <w:rPr>
          <w:sz w:val="32"/>
          <w:szCs w:val="32"/>
        </w:rPr>
        <w:t>.</w:t>
      </w:r>
    </w:p>
    <w:p w:rsidR="00351943" w:rsidRDefault="002C5687" w:rsidP="00EE524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781550" cy="2714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4D" w:rsidRPr="00EE524D" w:rsidRDefault="00EE524D" w:rsidP="00D17F9A">
      <w:pPr>
        <w:spacing w:line="276" w:lineRule="auto"/>
        <w:ind w:firstLine="567"/>
        <w:jc w:val="center"/>
        <w:rPr>
          <w:sz w:val="32"/>
          <w:szCs w:val="32"/>
        </w:rPr>
      </w:pPr>
      <w:r w:rsidRPr="00EE524D">
        <w:rPr>
          <w:sz w:val="32"/>
          <w:szCs w:val="32"/>
        </w:rPr>
        <w:t>Рис.</w:t>
      </w:r>
      <w:r>
        <w:rPr>
          <w:sz w:val="32"/>
          <w:szCs w:val="32"/>
        </w:rPr>
        <w:t xml:space="preserve"> </w:t>
      </w:r>
      <w:r w:rsidRPr="00EE524D">
        <w:rPr>
          <w:sz w:val="32"/>
          <w:szCs w:val="32"/>
        </w:rPr>
        <w:t>3. Вклад отраслей в конечную цену отдельных продовольственных товаров в 2012 г., %</w:t>
      </w:r>
    </w:p>
    <w:p w:rsidR="00351943" w:rsidRDefault="00351943" w:rsidP="00D17F9A">
      <w:pPr>
        <w:spacing w:line="276" w:lineRule="auto"/>
        <w:jc w:val="center"/>
        <w:rPr>
          <w:sz w:val="28"/>
          <w:szCs w:val="32"/>
        </w:rPr>
      </w:pPr>
      <w:r w:rsidRPr="007C4900">
        <w:rPr>
          <w:sz w:val="28"/>
          <w:szCs w:val="32"/>
        </w:rPr>
        <w:t xml:space="preserve">Источник: </w:t>
      </w:r>
      <w:r w:rsidR="00EE524D" w:rsidRPr="007C4900">
        <w:rPr>
          <w:sz w:val="28"/>
          <w:szCs w:val="32"/>
        </w:rPr>
        <w:t>р</w:t>
      </w:r>
      <w:r w:rsidRPr="007C4900">
        <w:rPr>
          <w:sz w:val="28"/>
          <w:szCs w:val="32"/>
        </w:rPr>
        <w:t>асчет на основе данных Росстата</w:t>
      </w:r>
    </w:p>
    <w:p w:rsidR="00D17F9A" w:rsidRPr="00D17F9A" w:rsidRDefault="00D17F9A" w:rsidP="00D17F9A">
      <w:pPr>
        <w:spacing w:line="276" w:lineRule="auto"/>
        <w:jc w:val="center"/>
        <w:rPr>
          <w:sz w:val="20"/>
          <w:szCs w:val="32"/>
        </w:rPr>
      </w:pP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lastRenderedPageBreak/>
        <w:t>Принципиально иная ситуация складывается с долей сферы торговли: ее удельный вес составляет около</w:t>
      </w:r>
      <w:r w:rsidR="00E961C9" w:rsidRPr="00EE524D">
        <w:rPr>
          <w:sz w:val="32"/>
          <w:szCs w:val="32"/>
        </w:rPr>
        <w:t xml:space="preserve"> 40%.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Дисбаланс в распределении прибыли между отраслями приводит к низкой доходности в сельском хозяйстве. Рентабельность по всей хозяйственной деятельности в 2012</w:t>
      </w:r>
      <w:r w:rsidR="00D073C6" w:rsidRPr="00EE524D">
        <w:rPr>
          <w:sz w:val="32"/>
          <w:szCs w:val="32"/>
        </w:rPr>
        <w:t xml:space="preserve"> </w:t>
      </w:r>
      <w:r w:rsidRPr="00EE524D">
        <w:rPr>
          <w:sz w:val="32"/>
          <w:szCs w:val="32"/>
        </w:rPr>
        <w:t>г. составляла без субсидий немногим более 1%, с субсидиями – 12%. Однако многие хозяйства в силу установленных условий их вообще не получали. В результате в среднем по сельскохозяйственным организациям на 1 га пашни было получено лишь 2,2 тыс. руб. чистой прибыли, что совершенно недостаточно для ведения эффективного производства.</w:t>
      </w:r>
    </w:p>
    <w:p w:rsidR="00F17208" w:rsidRPr="00EE524D" w:rsidRDefault="00F17208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Что касается крестьянских фермерских хозяйств, в силу того, что такие данные Росстатом не собираются, а на ведомственную отчетность поставлен гриф служебного пользования, то проанализировать ситуацию с </w:t>
      </w:r>
      <w:r w:rsidR="007D268B" w:rsidRPr="00EE524D">
        <w:rPr>
          <w:sz w:val="32"/>
          <w:szCs w:val="32"/>
        </w:rPr>
        <w:t>экономикой</w:t>
      </w:r>
      <w:r w:rsidRPr="00EE524D">
        <w:rPr>
          <w:sz w:val="32"/>
          <w:szCs w:val="32"/>
        </w:rPr>
        <w:t xml:space="preserve"> крестьянских </w:t>
      </w:r>
      <w:r w:rsidR="007D268B" w:rsidRPr="00EE524D">
        <w:rPr>
          <w:sz w:val="32"/>
          <w:szCs w:val="32"/>
        </w:rPr>
        <w:t>(</w:t>
      </w:r>
      <w:r w:rsidRPr="00EE524D">
        <w:rPr>
          <w:sz w:val="32"/>
          <w:szCs w:val="32"/>
        </w:rPr>
        <w:t>фермерских</w:t>
      </w:r>
      <w:r w:rsidR="007D268B" w:rsidRPr="00EE524D">
        <w:rPr>
          <w:sz w:val="32"/>
          <w:szCs w:val="32"/>
        </w:rPr>
        <w:t>)</w:t>
      </w:r>
      <w:r w:rsidRPr="00EE524D">
        <w:rPr>
          <w:sz w:val="32"/>
          <w:szCs w:val="32"/>
        </w:rPr>
        <w:t xml:space="preserve"> хозяйств практически невозможно.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В результате действующий экономический механизм загоняет сельскохозяйственных товаропроизводителей в долговую яму</w:t>
      </w:r>
      <w:r w:rsidR="007D268B" w:rsidRPr="00EE524D">
        <w:rPr>
          <w:sz w:val="32"/>
          <w:szCs w:val="32"/>
        </w:rPr>
        <w:t>. К</w:t>
      </w:r>
      <w:r w:rsidRPr="00EE524D">
        <w:rPr>
          <w:sz w:val="32"/>
          <w:szCs w:val="32"/>
        </w:rPr>
        <w:t xml:space="preserve">редиторская задолженность сельскохозяйственных организаций приблизилась к 2 трлн руб., что на треть превышает стоимость производимой продукции и составляет более чем 1,3 млн руб. на каждого </w:t>
      </w:r>
      <w:r w:rsidR="00AB1574">
        <w:rPr>
          <w:sz w:val="32"/>
          <w:szCs w:val="32"/>
        </w:rPr>
        <w:t xml:space="preserve">сельскохозяйственного </w:t>
      </w:r>
      <w:r w:rsidRPr="00EE524D">
        <w:rPr>
          <w:sz w:val="32"/>
          <w:szCs w:val="32"/>
        </w:rPr>
        <w:t>работника.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Сложность привлечения заемного финансирования, недостаток собственных средств, низкий уровень государственной поддержки негативно сказались на </w:t>
      </w:r>
      <w:r w:rsidRPr="00EE524D">
        <w:rPr>
          <w:sz w:val="32"/>
          <w:szCs w:val="32"/>
        </w:rPr>
        <w:lastRenderedPageBreak/>
        <w:t>инвестиционной привлекательности сельского хозяйства. В результате за 2008-2012 гг. на фоне роста общего объема инвестиций в экономику страны на 19%, инвестиции в сельское хозяйство снизились на 9% при предусмотренном в Государственной программе на этот период росте в 1,6 раза.</w:t>
      </w:r>
    </w:p>
    <w:p w:rsidR="00351943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Все это привело к угрожающе растущему импорту продовольственных товаров и возрастающему дисбалансу внешней торговли в этой сфере</w:t>
      </w:r>
      <w:r w:rsidR="00EE524D">
        <w:rPr>
          <w:sz w:val="32"/>
          <w:szCs w:val="32"/>
        </w:rPr>
        <w:t xml:space="preserve"> (рисунок 4)</w:t>
      </w:r>
      <w:r w:rsidRPr="00EE524D">
        <w:rPr>
          <w:sz w:val="32"/>
          <w:szCs w:val="32"/>
        </w:rPr>
        <w:t xml:space="preserve">. </w:t>
      </w:r>
    </w:p>
    <w:p w:rsidR="00351943" w:rsidRDefault="002C5687" w:rsidP="00EE524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86325" cy="2733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4D" w:rsidRPr="00EE524D" w:rsidRDefault="00EE524D" w:rsidP="00D17F9A">
      <w:pPr>
        <w:spacing w:line="276" w:lineRule="auto"/>
        <w:ind w:firstLine="567"/>
        <w:jc w:val="center"/>
        <w:rPr>
          <w:sz w:val="32"/>
          <w:szCs w:val="32"/>
        </w:rPr>
      </w:pPr>
      <w:r w:rsidRPr="00EE524D">
        <w:rPr>
          <w:sz w:val="32"/>
          <w:szCs w:val="32"/>
        </w:rPr>
        <w:t>Рис.</w:t>
      </w:r>
      <w:r>
        <w:rPr>
          <w:sz w:val="32"/>
          <w:szCs w:val="32"/>
        </w:rPr>
        <w:t xml:space="preserve"> </w:t>
      </w:r>
      <w:r w:rsidRPr="00EE524D">
        <w:rPr>
          <w:sz w:val="32"/>
          <w:szCs w:val="32"/>
        </w:rPr>
        <w:t>4. Экспорт и импорт продовольственных товаров и сельскохозяйственного сырья, млрд долл. США</w:t>
      </w:r>
    </w:p>
    <w:p w:rsidR="00EE524D" w:rsidRDefault="00EE524D" w:rsidP="00D17F9A">
      <w:pPr>
        <w:spacing w:line="276" w:lineRule="auto"/>
        <w:jc w:val="center"/>
        <w:rPr>
          <w:sz w:val="28"/>
          <w:szCs w:val="32"/>
        </w:rPr>
      </w:pPr>
      <w:r w:rsidRPr="007C4900">
        <w:rPr>
          <w:sz w:val="28"/>
          <w:szCs w:val="32"/>
        </w:rPr>
        <w:t>Источник: расчет на основе данных Росстата</w:t>
      </w:r>
    </w:p>
    <w:p w:rsidR="00D17F9A" w:rsidRPr="00D17F9A" w:rsidRDefault="00D17F9A" w:rsidP="00D17F9A">
      <w:pPr>
        <w:spacing w:line="276" w:lineRule="auto"/>
        <w:jc w:val="center"/>
        <w:rPr>
          <w:sz w:val="14"/>
          <w:szCs w:val="32"/>
        </w:rPr>
      </w:pPr>
    </w:p>
    <w:p w:rsidR="00351943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Так, за 9 месяцев текущего года импорт </w:t>
      </w:r>
      <w:r w:rsidR="007D268B" w:rsidRPr="00EE524D">
        <w:rPr>
          <w:sz w:val="32"/>
          <w:szCs w:val="32"/>
        </w:rPr>
        <w:t xml:space="preserve">уже </w:t>
      </w:r>
      <w:r w:rsidRPr="00EE524D">
        <w:rPr>
          <w:sz w:val="32"/>
          <w:szCs w:val="32"/>
        </w:rPr>
        <w:t xml:space="preserve">составил 26,6 млрд долл США и увеличился на 5 %, а экспорт, напротив, сократился на 11% до 9,3 млрд долл США. </w:t>
      </w:r>
      <w:r w:rsidR="00EE426B">
        <w:rPr>
          <w:sz w:val="32"/>
          <w:szCs w:val="32"/>
        </w:rPr>
        <w:t>По сравнению с январем-августом 2012 года возросли физические объемы импортных закупок молока и сливок (на 42,3%), масла сливочного (на 26,1%), сахара белого (на 29,0%), табачных изделий (на 26%).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lastRenderedPageBreak/>
        <w:t xml:space="preserve">Трансформационный период в нашей стране сопровождался огромными социальными издержками. «Ножницы» между городом и селом в уровне и качестве жизни раздвинулись. Заработная плата в отрасли едва превышает половину среднероссийской (53 %), хотя занятость работников в течение года на 6-7% выше, чем по экономике в целом. 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Остается острой проблема сельской бедности. У 16,9% сельского населения денежные доходы ниже величины прожиточного минимума (среди горожан у 8,8%) при предельно допустимом, по международным оценкам, показателе 10%. Без преувеличения можно сказать, что российская бедность локализуется на сельских территориях.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К сожалению, новая Государственная программа не предполагает, исходя из заложенных в ней параметров, осуществить прорыв ни в технико-технологическом направлении, ни в повышении доходности отрасли для создания условий ее инвестиционной привлекательности, ни в коренном улучшении социальных условий жизни и престижа сельскохозяйственного труда.</w:t>
      </w:r>
    </w:p>
    <w:p w:rsidR="00351943" w:rsidRPr="00EE524D" w:rsidRDefault="00351943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Вместе с тем, потенциал аграрного сектора по всем факторам его развития</w:t>
      </w:r>
      <w:r w:rsidR="00C21A21" w:rsidRPr="00EE524D">
        <w:rPr>
          <w:sz w:val="32"/>
          <w:szCs w:val="32"/>
        </w:rPr>
        <w:t>, как вы знаете,</w:t>
      </w:r>
      <w:r w:rsidRPr="00EE524D">
        <w:rPr>
          <w:sz w:val="32"/>
          <w:szCs w:val="32"/>
        </w:rPr>
        <w:t xml:space="preserve"> огромен и способен при создании благоприятных условий обеспечить не только продовольственную независимость и безопасность страны, но и стать одним из ведущих экспортеров по целому ряду сельскохозяйственной продукции и продовольственных товаров.</w:t>
      </w:r>
    </w:p>
    <w:p w:rsidR="00B63205" w:rsidRPr="00EE524D" w:rsidRDefault="00B63205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lastRenderedPageBreak/>
        <w:t>Все это свидетельствует о том, что действующий экономический механизм исчерпал себя. Нужен механизм, направленный на развитие отечественной сельскохозяйственной экономики.</w:t>
      </w:r>
      <w:r w:rsidR="00425222" w:rsidRPr="00EE524D">
        <w:rPr>
          <w:sz w:val="32"/>
          <w:szCs w:val="32"/>
        </w:rPr>
        <w:t xml:space="preserve"> Это тем более важно, что мы уже вступили в ВТО, находимся в Едином экономическом пространстве, которое будет только расширяться. </w:t>
      </w:r>
      <w:r w:rsidRPr="00EE524D">
        <w:rPr>
          <w:sz w:val="32"/>
          <w:szCs w:val="32"/>
        </w:rPr>
        <w:t>В общих чертах</w:t>
      </w:r>
      <w:r w:rsidR="00C21A21" w:rsidRPr="00EE524D">
        <w:rPr>
          <w:sz w:val="32"/>
          <w:szCs w:val="32"/>
        </w:rPr>
        <w:t>, по нашему мнению, основные</w:t>
      </w:r>
      <w:r w:rsidRPr="00EE524D">
        <w:rPr>
          <w:sz w:val="32"/>
          <w:szCs w:val="32"/>
        </w:rPr>
        <w:t xml:space="preserve"> изменения</w:t>
      </w:r>
      <w:r w:rsidR="00425222" w:rsidRPr="00EE524D">
        <w:rPr>
          <w:sz w:val="32"/>
          <w:szCs w:val="32"/>
        </w:rPr>
        <w:t xml:space="preserve"> в экономическом механизме</w:t>
      </w:r>
      <w:r w:rsidRPr="00EE524D">
        <w:rPr>
          <w:sz w:val="32"/>
          <w:szCs w:val="32"/>
        </w:rPr>
        <w:t xml:space="preserve"> </w:t>
      </w:r>
      <w:r w:rsidR="00C21A21" w:rsidRPr="00EE524D">
        <w:rPr>
          <w:sz w:val="32"/>
          <w:szCs w:val="32"/>
        </w:rPr>
        <w:t xml:space="preserve">должны произойти </w:t>
      </w:r>
      <w:r w:rsidRPr="00EE524D">
        <w:rPr>
          <w:sz w:val="32"/>
          <w:szCs w:val="32"/>
        </w:rPr>
        <w:t>по следующим направлениям.</w:t>
      </w:r>
    </w:p>
    <w:p w:rsidR="00B63205" w:rsidRPr="00EE524D" w:rsidRDefault="00B63205" w:rsidP="00EE524D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EE524D">
        <w:rPr>
          <w:b/>
          <w:sz w:val="32"/>
          <w:szCs w:val="32"/>
        </w:rPr>
        <w:t>Снижение инфляции и ценовая политика</w:t>
      </w:r>
    </w:p>
    <w:p w:rsidR="008B2354" w:rsidRPr="00EE524D" w:rsidRDefault="00B63205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Прежде всего, нужно стремиться к изменению соотношения цен на сельскохозяйственную и промышленную продукцию и услуги. Это возможно путем замораживания цен и тарифов для сельского хозяйства естественных монополий, контролируемых государством. Причем такая политика должна носить не годичный характер, а быть долгосрочной.</w:t>
      </w:r>
      <w:r w:rsidR="000F5F64" w:rsidRPr="00EE524D">
        <w:rPr>
          <w:sz w:val="32"/>
          <w:szCs w:val="32"/>
        </w:rPr>
        <w:t xml:space="preserve"> </w:t>
      </w:r>
      <w:r w:rsidR="008B2354" w:rsidRPr="00EE524D">
        <w:rPr>
          <w:sz w:val="32"/>
          <w:szCs w:val="32"/>
        </w:rPr>
        <w:t>В текущем году по сравнению с предыдуще</w:t>
      </w:r>
      <w:r w:rsidR="00B90249" w:rsidRPr="00EE524D">
        <w:rPr>
          <w:sz w:val="32"/>
          <w:szCs w:val="32"/>
        </w:rPr>
        <w:t>м</w:t>
      </w:r>
      <w:r w:rsidR="008B2354" w:rsidRPr="00EE524D">
        <w:rPr>
          <w:sz w:val="32"/>
          <w:szCs w:val="32"/>
        </w:rPr>
        <w:t xml:space="preserve"> год</w:t>
      </w:r>
      <w:r w:rsidR="00B90249" w:rsidRPr="00EE524D">
        <w:rPr>
          <w:sz w:val="32"/>
          <w:szCs w:val="32"/>
        </w:rPr>
        <w:t>ом</w:t>
      </w:r>
      <w:r w:rsidR="008B2354" w:rsidRPr="00EE524D">
        <w:rPr>
          <w:sz w:val="32"/>
          <w:szCs w:val="32"/>
        </w:rPr>
        <w:t xml:space="preserve"> цены на бензин </w:t>
      </w:r>
      <w:r w:rsidR="00B90249" w:rsidRPr="00EE524D">
        <w:rPr>
          <w:sz w:val="32"/>
          <w:szCs w:val="32"/>
        </w:rPr>
        <w:t>выросли почти на 8%, на дизельное топливо – на 12%</w:t>
      </w:r>
      <w:r w:rsidR="008B2354" w:rsidRPr="00EE524D">
        <w:rPr>
          <w:sz w:val="32"/>
          <w:szCs w:val="32"/>
        </w:rPr>
        <w:t xml:space="preserve">, а цены на реализованную сельскохозяйственную продукцию снизились на </w:t>
      </w:r>
      <w:r w:rsidR="00B90249" w:rsidRPr="00EE524D">
        <w:rPr>
          <w:sz w:val="32"/>
          <w:szCs w:val="32"/>
        </w:rPr>
        <w:t xml:space="preserve">2,5 </w:t>
      </w:r>
      <w:r w:rsidR="008B2354" w:rsidRPr="00EE524D">
        <w:rPr>
          <w:sz w:val="32"/>
          <w:szCs w:val="32"/>
        </w:rPr>
        <w:t>%.</w:t>
      </w:r>
    </w:p>
    <w:p w:rsidR="00B63205" w:rsidRPr="00EE524D" w:rsidRDefault="00B63205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Так, по нашим подсчетам, замораживание тарифов в 2014 году принесет экономию хозяйствам </w:t>
      </w:r>
      <w:r w:rsidR="00FD5ED9" w:rsidRPr="00EE524D">
        <w:rPr>
          <w:sz w:val="32"/>
          <w:szCs w:val="32"/>
        </w:rPr>
        <w:t>в размере только 0,4</w:t>
      </w:r>
      <w:r w:rsidRPr="00EE524D">
        <w:rPr>
          <w:sz w:val="32"/>
          <w:szCs w:val="32"/>
        </w:rPr>
        <w:t>% затрат. При долгосрочном варианте это способствовало бы не только снижению диспаритета цен, но и снижению темпов инфляции в целом, которая в настоящее время «съедает» у сельского хозяйства около 100 млрд рублей ежегодно.</w:t>
      </w:r>
    </w:p>
    <w:p w:rsidR="00B63205" w:rsidRPr="00EE524D" w:rsidRDefault="00B63205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lastRenderedPageBreak/>
        <w:t xml:space="preserve">Кстати, на эту проблему обращают внимание в своем открытом письме к Президенту страны 500 руководителей сельскохозяйственных предприятий и </w:t>
      </w:r>
      <w:r w:rsidR="000F5F64" w:rsidRPr="00EE524D">
        <w:rPr>
          <w:sz w:val="32"/>
          <w:szCs w:val="32"/>
        </w:rPr>
        <w:t xml:space="preserve">вас – </w:t>
      </w:r>
      <w:r w:rsidRPr="00EE524D">
        <w:rPr>
          <w:sz w:val="32"/>
          <w:szCs w:val="32"/>
        </w:rPr>
        <w:t>фермеров. Они просят исключить из стоимости ГСМ для сельхозмашин все налоги и акцизы, включая отчисления в дорожные фонды. Ведь, как известно, сельхозмашины используются не для проезда по автомобильным дорогам, а передвигаются по землям сельхозназначения.</w:t>
      </w:r>
    </w:p>
    <w:p w:rsidR="00B63205" w:rsidRDefault="00B63205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Одним из эффективных инструментов поддержки доходов сельскохозяйственных товаропроизводителей является применение </w:t>
      </w:r>
      <w:r w:rsidRPr="00EE524D">
        <w:rPr>
          <w:b/>
          <w:sz w:val="32"/>
          <w:szCs w:val="32"/>
        </w:rPr>
        <w:t xml:space="preserve">системы </w:t>
      </w:r>
      <w:r w:rsidRPr="00EE524D">
        <w:rPr>
          <w:sz w:val="32"/>
          <w:szCs w:val="32"/>
        </w:rPr>
        <w:t>так называемых</w:t>
      </w:r>
      <w:r w:rsidRPr="00EE524D">
        <w:rPr>
          <w:b/>
          <w:sz w:val="32"/>
          <w:szCs w:val="32"/>
        </w:rPr>
        <w:t xml:space="preserve"> минимальных гарантированных цен</w:t>
      </w:r>
      <w:r w:rsidRPr="00EE524D">
        <w:rPr>
          <w:sz w:val="32"/>
          <w:szCs w:val="32"/>
        </w:rPr>
        <w:t xml:space="preserve"> на реализуемую ими продукцию. Имеется в виду, что мы должны от периодически объявляемых закупочных интервенций, проводимым биржевым способом, перейти к постоянно действующей системе закупок сельскохозяйственной продукции по заранее объявленным минимальным ценам. Так, в США используется механизм залогового кредитования, когда государство берет на себя обязательство приобрести урожай фермеров по заранее объявленным ценам, которые составляют примерно 85% от фактической рыночной цены за предыдущий период. Такой механизм используется там для 15 основных видов растениеводческой продукции и молока, а не только по зерну, как у нас.</w:t>
      </w:r>
    </w:p>
    <w:p w:rsidR="00291846" w:rsidRDefault="00291846" w:rsidP="00EE524D">
      <w:pPr>
        <w:spacing w:line="360" w:lineRule="auto"/>
        <w:ind w:firstLine="567"/>
        <w:jc w:val="both"/>
        <w:rPr>
          <w:sz w:val="32"/>
          <w:szCs w:val="32"/>
        </w:rPr>
      </w:pPr>
    </w:p>
    <w:p w:rsidR="00291846" w:rsidRPr="00EE524D" w:rsidRDefault="00291846" w:rsidP="00EE524D">
      <w:pPr>
        <w:spacing w:line="360" w:lineRule="auto"/>
        <w:ind w:firstLine="567"/>
        <w:jc w:val="both"/>
        <w:rPr>
          <w:sz w:val="32"/>
          <w:szCs w:val="32"/>
        </w:rPr>
      </w:pPr>
    </w:p>
    <w:p w:rsidR="00B63205" w:rsidRPr="00EE524D" w:rsidRDefault="00B63205" w:rsidP="00EE524D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lastRenderedPageBreak/>
        <w:t>Государственная поддержка развития производства</w:t>
      </w:r>
    </w:p>
    <w:p w:rsidR="00B63205" w:rsidRPr="00EE524D" w:rsidRDefault="00B63205" w:rsidP="00EE524D">
      <w:pPr>
        <w:numPr>
          <w:ilvl w:val="1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t xml:space="preserve"> Развитие кредитования</w:t>
      </w:r>
    </w:p>
    <w:p w:rsidR="00B63205" w:rsidRDefault="00B63205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Чтобы сделать кредит доступным для сельскохозяйственных товаропроизводителей, целесообразно снизить рыночную процентную ставку до 2-3% годовых, тем более что более 90 % всех кредитов поступает в сельское хозяйство через два государственных банка: Россельхозбанк и Сбербанк. Впредь до такого снижения государству придется удешевлять кредитные ресурсы, используя субсидии</w:t>
      </w:r>
      <w:r w:rsidR="000F5F64" w:rsidRPr="00EE524D">
        <w:rPr>
          <w:sz w:val="32"/>
          <w:szCs w:val="32"/>
        </w:rPr>
        <w:t xml:space="preserve"> и повышая доступность к ним, в том числе и крестьянских фермерских хозяйств. По расчетам, исходя и</w:t>
      </w:r>
      <w:r w:rsidR="0004594B">
        <w:rPr>
          <w:sz w:val="32"/>
          <w:szCs w:val="32"/>
        </w:rPr>
        <w:t>з</w:t>
      </w:r>
      <w:r w:rsidR="000F5F64" w:rsidRPr="00EE524D">
        <w:rPr>
          <w:sz w:val="32"/>
          <w:szCs w:val="32"/>
        </w:rPr>
        <w:t xml:space="preserve"> данных Национального доклада за 2012 год, субсидированными кредитами воспользовалось не многим более 4% фермеров</w:t>
      </w:r>
      <w:r w:rsidRPr="00EE524D">
        <w:rPr>
          <w:sz w:val="32"/>
          <w:szCs w:val="32"/>
        </w:rPr>
        <w:t>. Одновременно должна быть снижена ставка рефинансирования Центрального банка до уровня, действующего в развитых странах мира.</w:t>
      </w:r>
    </w:p>
    <w:p w:rsidR="00B63205" w:rsidRPr="00EE524D" w:rsidRDefault="00B63205" w:rsidP="00EE524D">
      <w:pPr>
        <w:numPr>
          <w:ilvl w:val="1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t>Страхование</w:t>
      </w:r>
    </w:p>
    <w:p w:rsidR="00B63205" w:rsidRPr="00EE524D" w:rsidRDefault="00B63205" w:rsidP="00EE524D">
      <w:pPr>
        <w:spacing w:line="360" w:lineRule="auto"/>
        <w:ind w:firstLine="567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Что касается страхования, то принятый Федеральный закон о страховании от 25 июля </w:t>
      </w:r>
      <w:smartTag w:uri="urn:schemas-microsoft-com:office:smarttags" w:element="metricconverter">
        <w:smartTagPr>
          <w:attr w:name="ProductID" w:val="2011 г"/>
        </w:smartTagPr>
        <w:r w:rsidRPr="00EE524D">
          <w:rPr>
            <w:sz w:val="32"/>
            <w:szCs w:val="32"/>
          </w:rPr>
          <w:t>2011 г</w:t>
        </w:r>
      </w:smartTag>
      <w:r w:rsidRPr="00EE524D">
        <w:rPr>
          <w:sz w:val="32"/>
          <w:szCs w:val="32"/>
        </w:rPr>
        <w:t xml:space="preserve">. № 260-ФЗ «О государственной поддержке в сфере сельскохозяйственного страхования и о внесении в Федеральный закон «О развитии сельского хозяйства» закрепил принцип страхования с государственной поддержкой только катастрофических рисков, начиная с гибели 30% урожая и более, что резко снижает число возможных получателей страхового возмещения. По расчетам </w:t>
      </w:r>
      <w:r w:rsidRPr="00EE524D">
        <w:rPr>
          <w:sz w:val="32"/>
          <w:szCs w:val="32"/>
        </w:rPr>
        <w:lastRenderedPageBreak/>
        <w:t xml:space="preserve">экспертов, такой подход актуален лишь для 10-15 регионов страны, и то один раз в 5-6 лет. </w:t>
      </w:r>
    </w:p>
    <w:p w:rsidR="00B63205" w:rsidRPr="00EE524D" w:rsidRDefault="00B63205" w:rsidP="00EE524D">
      <w:pPr>
        <w:spacing w:line="360" w:lineRule="auto"/>
        <w:ind w:firstLine="708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Необходимо в ближайшее время внести в Закон поправки, позволяющие страховать с господдержкой также недобор урожая в размере до 30%, поскольку это является наиболее востребованной страховой программой в сельском хозяйстве России.</w:t>
      </w:r>
    </w:p>
    <w:p w:rsidR="00B63205" w:rsidRPr="00EE524D" w:rsidRDefault="00B63205" w:rsidP="00EE524D">
      <w:pPr>
        <w:spacing w:line="360" w:lineRule="auto"/>
        <w:ind w:firstLine="708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Такая корректировка системы страхования с государственной поддержкой потребует субсидий из федерального бюджета в размере 12,0-13,0 млрд руб. в год. Целесообразно обязать страховщиков перейти от системы формирования страховых резервов к накопительному принципу. На случай чрезвычайных ситуаций, приносящих особенно крупные ущербы, особый резервный фонд должно иметь государство, как перестраховщик последней руки.</w:t>
      </w:r>
    </w:p>
    <w:p w:rsidR="00B63205" w:rsidRPr="00EE524D" w:rsidRDefault="00B63205" w:rsidP="00EE524D">
      <w:pPr>
        <w:numPr>
          <w:ilvl w:val="1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t>Субсидирование</w:t>
      </w:r>
    </w:p>
    <w:p w:rsidR="00D17F9A" w:rsidRDefault="00DE0DCD" w:rsidP="00DE0D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Наряду с сохранением ранее действовавших мер поддержки (субсидирование процентной ставки), предусмотрена новая форма субсидирования сельскохозяйственного производства, отвечающая условиям членства России в ВТО, – поддержка доходов сельхозтоваропроизводителей в области растениеводства, то есть несвязанная поддержка, а также субсидирование производства молока. </w:t>
      </w:r>
    </w:p>
    <w:p w:rsidR="00DE0DCD" w:rsidRDefault="00DE0DCD" w:rsidP="00DE0D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оказание несвязанной поддержки товаропроизводителям в области растениеводства выделено </w:t>
      </w:r>
      <w:r>
        <w:rPr>
          <w:sz w:val="32"/>
          <w:szCs w:val="32"/>
        </w:rPr>
        <w:lastRenderedPageBreak/>
        <w:t xml:space="preserve">25,2 млрд рублей, средний размер субсидии из Федерального бюджета на 1 га составляет 344 рубля, а с учетом региональной составляющей – 501 рубль на 1 га. </w:t>
      </w:r>
      <w:r w:rsidR="00D17F9A">
        <w:rPr>
          <w:sz w:val="32"/>
          <w:szCs w:val="32"/>
        </w:rPr>
        <w:t>Нам</w:t>
      </w:r>
      <w:r>
        <w:rPr>
          <w:sz w:val="32"/>
          <w:szCs w:val="32"/>
        </w:rPr>
        <w:t xml:space="preserve"> представляется, что следует усилить несвязанную поддержку в области растениеводства и ввести ее для животноводства. </w:t>
      </w:r>
    </w:p>
    <w:p w:rsidR="00DE0DCD" w:rsidRDefault="002C5687" w:rsidP="00DE0DCD">
      <w:pPr>
        <w:pStyle w:val="ac"/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476625" cy="2190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CD" w:rsidRDefault="00DE0DCD" w:rsidP="00D17F9A">
      <w:pPr>
        <w:pStyle w:val="ac"/>
        <w:spacing w:line="240" w:lineRule="auto"/>
        <w:ind w:firstLine="0"/>
        <w:jc w:val="center"/>
        <w:rPr>
          <w:sz w:val="32"/>
          <w:szCs w:val="32"/>
        </w:rPr>
      </w:pPr>
      <w:r w:rsidRPr="00EE524D">
        <w:rPr>
          <w:sz w:val="32"/>
          <w:szCs w:val="32"/>
        </w:rPr>
        <w:t xml:space="preserve">Рис.5. Размер несвязанной поддержки </w:t>
      </w:r>
    </w:p>
    <w:p w:rsidR="00DE0DCD" w:rsidRPr="00EE524D" w:rsidRDefault="00DE0DCD" w:rsidP="00D17F9A">
      <w:pPr>
        <w:pStyle w:val="ac"/>
        <w:spacing w:line="240" w:lineRule="auto"/>
        <w:ind w:firstLine="0"/>
        <w:jc w:val="center"/>
        <w:rPr>
          <w:sz w:val="32"/>
          <w:szCs w:val="32"/>
        </w:rPr>
      </w:pPr>
      <w:r w:rsidRPr="00EE524D">
        <w:rPr>
          <w:sz w:val="32"/>
          <w:szCs w:val="32"/>
        </w:rPr>
        <w:t xml:space="preserve">доходов в расчете на </w:t>
      </w:r>
      <w:smartTag w:uri="urn:schemas-microsoft-com:office:smarttags" w:element="metricconverter">
        <w:smartTagPr>
          <w:attr w:name="ProductID" w:val="1 га"/>
        </w:smartTagPr>
        <w:r w:rsidRPr="00EE524D">
          <w:rPr>
            <w:sz w:val="32"/>
            <w:szCs w:val="32"/>
          </w:rPr>
          <w:t>1 га</w:t>
        </w:r>
      </w:smartTag>
      <w:r w:rsidRPr="00EE524D">
        <w:rPr>
          <w:sz w:val="32"/>
          <w:szCs w:val="32"/>
        </w:rPr>
        <w:t xml:space="preserve"> пашни, руб.</w:t>
      </w:r>
    </w:p>
    <w:p w:rsidR="00DE0DCD" w:rsidRPr="007C4900" w:rsidRDefault="00DE0DCD" w:rsidP="00D17F9A">
      <w:pPr>
        <w:jc w:val="center"/>
        <w:rPr>
          <w:sz w:val="28"/>
          <w:szCs w:val="32"/>
        </w:rPr>
      </w:pPr>
      <w:r w:rsidRPr="007C4900">
        <w:rPr>
          <w:sz w:val="28"/>
          <w:szCs w:val="32"/>
        </w:rPr>
        <w:t xml:space="preserve">Источник: расчет на основе данных ВТО, </w:t>
      </w:r>
      <w:r w:rsidR="00D17F9A">
        <w:rPr>
          <w:sz w:val="28"/>
          <w:szCs w:val="32"/>
        </w:rPr>
        <w:t>ФАО, ЦБ РФ</w:t>
      </w:r>
    </w:p>
    <w:p w:rsidR="00DE0DCD" w:rsidRDefault="00DE0DCD" w:rsidP="00D17F9A">
      <w:pPr>
        <w:jc w:val="center"/>
        <w:rPr>
          <w:sz w:val="28"/>
          <w:szCs w:val="32"/>
        </w:rPr>
      </w:pPr>
      <w:r w:rsidRPr="007C4900">
        <w:rPr>
          <w:sz w:val="28"/>
          <w:szCs w:val="32"/>
        </w:rPr>
        <w:t>Курс валют взят по состоянию на 01.01.2013 г.</w:t>
      </w:r>
    </w:p>
    <w:p w:rsidR="00B63205" w:rsidRPr="00EE524D" w:rsidRDefault="00B63205" w:rsidP="00EE524D">
      <w:pPr>
        <w:spacing w:line="360" w:lineRule="auto"/>
        <w:ind w:firstLine="708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В целом несвязанная поддержка доходов должна бы составить не менее 3 тысяч рублей, а в целом совокупная поддержка сельского хозяйства по всем направлениям – примерно 5-6 тысяч рублей на 1 га пашни вместо 1700 рублей в настоящее время и против более 20 тысяч рублей в США и ЕС.</w:t>
      </w:r>
    </w:p>
    <w:p w:rsidR="00B63205" w:rsidRPr="00EE524D" w:rsidRDefault="00B63205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При этом было бы целесообразно создать дифференцированную систему господдержки для различных зон и хозяйств с различным уровнем доходности: </w:t>
      </w:r>
    </w:p>
    <w:p w:rsidR="00B63205" w:rsidRPr="00EE524D" w:rsidRDefault="00B63205" w:rsidP="00EE524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конкурентоспособные хозяйства, функционирующие в нормальных почвенно-климатических и экономических условиях;</w:t>
      </w:r>
    </w:p>
    <w:p w:rsidR="00B63205" w:rsidRPr="00EE524D" w:rsidRDefault="00B63205" w:rsidP="00EE524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lastRenderedPageBreak/>
        <w:t xml:space="preserve">хозяйства, находящиеся в неблагоприятных социально-экономических условиях; </w:t>
      </w:r>
    </w:p>
    <w:p w:rsidR="00B63205" w:rsidRDefault="00B63205" w:rsidP="00EE524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товаропроизводители, временно утратившие конкурентоспособность.</w:t>
      </w:r>
    </w:p>
    <w:p w:rsidR="00DE0DCD" w:rsidRDefault="00DE0DCD" w:rsidP="00DE0D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касается субсидирования процентной ставки, то, на наш взгляд, мы, прежде всего, укрепляем банки, а не помогаем сельхозтоваропроизводителям.</w:t>
      </w:r>
    </w:p>
    <w:p w:rsidR="00B63205" w:rsidRPr="00EE524D" w:rsidRDefault="00B63205" w:rsidP="00EE524D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t>Кооперация</w:t>
      </w:r>
    </w:p>
    <w:p w:rsidR="00B63205" w:rsidRPr="00EE524D" w:rsidRDefault="00B63205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Одним из наиболее действенных механизмов повышения удельного веса сельскохозяйственных товаропроизводителей в конечной цене реализации продовольствия и повышения таким образом их доходности является развитие сельской кооперации. Это доказано как российским, так и зарубежным опытом.</w:t>
      </w:r>
    </w:p>
    <w:p w:rsidR="003A5F2D" w:rsidRPr="00EE524D" w:rsidRDefault="003A5F2D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Например, в Белгородской области четко отработан механизм развития кооперационных  процессов, которым предусматривается создание инфраструктуры для фермерских хозяйств и личных подворьев, ее переработке, реализации и доступу на местные рынки. При этом для фермеров существует серьезная льгота – они получают одну треть торговых мест.</w:t>
      </w:r>
    </w:p>
    <w:p w:rsidR="00B63205" w:rsidRPr="00EE524D" w:rsidRDefault="00B63205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Однако в отечественном агропромышленном бизнесе сложился кризис недоверия. Поэтому, чтобы идея сельской кооперации оказалась привлекательной, необходима государственная политическая и финансовая поддержка тех, кто решил создать или развивать сельский кооператив.</w:t>
      </w:r>
    </w:p>
    <w:p w:rsidR="00B63205" w:rsidRPr="007C4900" w:rsidRDefault="00B63205" w:rsidP="00EE52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lastRenderedPageBreak/>
        <w:t>В качестве инструментов достижения этих целей предлагается:</w:t>
      </w:r>
    </w:p>
    <w:p w:rsidR="00B63205" w:rsidRPr="007C4900" w:rsidRDefault="00B63205" w:rsidP="00EE524D">
      <w:pPr>
        <w:numPr>
          <w:ilvl w:val="0"/>
          <w:numId w:val="6"/>
        </w:numPr>
        <w:tabs>
          <w:tab w:val="left" w:pos="990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возмещение части расходов на уплату процентов по долгосрочным инвестиционным кредитам и займам. Для этого потребуется 1 млрд руб. в год из федерального бюджета и не менее 0,5 млрд руб. – из региональных бюджетов;</w:t>
      </w:r>
    </w:p>
    <w:p w:rsidR="00B63205" w:rsidRPr="007C4900" w:rsidRDefault="00B63205" w:rsidP="00EE524D">
      <w:pPr>
        <w:numPr>
          <w:ilvl w:val="0"/>
          <w:numId w:val="6"/>
        </w:numPr>
        <w:tabs>
          <w:tab w:val="left" w:pos="990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поддержка направлений развития сельской кооперации в рамках мероприятий экономически значимых региональных программ по развитию сельской кооперации;</w:t>
      </w:r>
    </w:p>
    <w:p w:rsidR="00B63205" w:rsidRPr="007C4900" w:rsidRDefault="00B63205" w:rsidP="00EE524D">
      <w:pPr>
        <w:numPr>
          <w:ilvl w:val="0"/>
          <w:numId w:val="6"/>
        </w:numPr>
        <w:tabs>
          <w:tab w:val="left" w:pos="990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предоставление сельскохозяйственным кооперативам и организациям потребительской кооперации, оказывающей не менее 70% услуг сельскому населению, всех видов грантов и субсидий на развитие современной материально-технической базы;</w:t>
      </w:r>
    </w:p>
    <w:p w:rsidR="00B63205" w:rsidRPr="007C4900" w:rsidRDefault="00B63205" w:rsidP="00EE524D">
      <w:pPr>
        <w:numPr>
          <w:ilvl w:val="0"/>
          <w:numId w:val="6"/>
        </w:numPr>
        <w:tabs>
          <w:tab w:val="left" w:pos="990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возмещение сельскохозяйственным кооперативам и организациям потребительской кооперации, оказывающей не менее 70% услуг сельскому населению, части расходов на уплату первоначального взноса по договорам лизинга оборудования, транспорта, сельскохозяйственной и специализированной техники, скота и иных производственных фондов в размере не более 35% от стоимости объектов лизинга</w:t>
      </w:r>
      <w:r w:rsidR="00544CC4" w:rsidRPr="007C4900">
        <w:rPr>
          <w:sz w:val="32"/>
          <w:szCs w:val="32"/>
        </w:rPr>
        <w:t>.</w:t>
      </w:r>
    </w:p>
    <w:p w:rsidR="00B63205" w:rsidRDefault="00B63205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Для реализации этих мероприятий по нашим расчетам требуется более 500 тыс. руб. в расчете на 1 кооператив в год. При условии создания до 2020 г. 15 тыс. кооперативов потребуется около 63 млрд руб.</w:t>
      </w:r>
      <w:r w:rsidR="004C7346" w:rsidRPr="00EE524D">
        <w:rPr>
          <w:sz w:val="32"/>
          <w:szCs w:val="32"/>
        </w:rPr>
        <w:t>, но эти расходы, бесспорно, окупятся.</w:t>
      </w:r>
    </w:p>
    <w:p w:rsidR="00DE0DCD" w:rsidRDefault="00DE0DCD" w:rsidP="00EE524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Мы надеемся, что подготовленный проект Программы развития сельской кооперации будет включен со следующего года в Государственную программу </w:t>
      </w:r>
      <w:r w:rsidR="004978DB">
        <w:rPr>
          <w:sz w:val="32"/>
          <w:szCs w:val="32"/>
        </w:rPr>
        <w:t xml:space="preserve">развития сельского хозяйства до 2020 года. </w:t>
      </w:r>
    </w:p>
    <w:p w:rsidR="00B63205" w:rsidRPr="00EE524D" w:rsidRDefault="00B63205" w:rsidP="00EE524D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t>Продовольственная помощь</w:t>
      </w:r>
    </w:p>
    <w:p w:rsidR="00B63205" w:rsidRPr="00EE524D" w:rsidRDefault="00B63205" w:rsidP="00EE524D">
      <w:pPr>
        <w:spacing w:line="360" w:lineRule="auto"/>
        <w:ind w:firstLine="708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Одной из мер повышения емкости внутреннего рынка</w:t>
      </w:r>
      <w:r w:rsidR="008B2354" w:rsidRPr="00EE524D">
        <w:rPr>
          <w:sz w:val="32"/>
          <w:szCs w:val="32"/>
        </w:rPr>
        <w:t>, что очень важно для малых форм хозяйствования,</w:t>
      </w:r>
      <w:r w:rsidRPr="00EE524D">
        <w:rPr>
          <w:sz w:val="32"/>
          <w:szCs w:val="32"/>
        </w:rPr>
        <w:t xml:space="preserve"> может стать продовольственная помощь незащищенным слоям населения. В настоящее время по этому вопросу проводится эксперимент в 6 субъектах РФ за счет их собственных средств. На наш взгляд, эта форма поддержки могла бы оказать значимое влияние на доходность сельхозтоваропроизводителей только при условии, во-первых, больших масштабов ее реализации с охватом не менее 30 млн человек и, во-вторых, разработки механизма ее реализации, предусматривающего вовлечение сельхозтоваропроизводителей в процесс закупок для этой системы.</w:t>
      </w:r>
    </w:p>
    <w:p w:rsidR="00B63205" w:rsidRPr="00EE524D" w:rsidRDefault="00B63205" w:rsidP="00EE524D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t>Стимулирование экспорта</w:t>
      </w:r>
    </w:p>
    <w:p w:rsidR="00B63205" w:rsidRDefault="00BC4BA5" w:rsidP="00EE524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32"/>
        </w:rPr>
      </w:pPr>
      <w:r w:rsidRPr="00EE524D">
        <w:rPr>
          <w:sz w:val="32"/>
          <w:szCs w:val="32"/>
        </w:rPr>
        <w:t>Наряду с мерами по расширению внутреннего рынка, важное значение будут иметь меры по поддержке российского экспорта, ибо</w:t>
      </w:r>
      <w:r w:rsidR="00B63205" w:rsidRPr="00EE524D">
        <w:rPr>
          <w:sz w:val="32"/>
          <w:szCs w:val="32"/>
        </w:rPr>
        <w:t xml:space="preserve"> разработанные Минэкономразвития</w:t>
      </w:r>
      <w:r w:rsidRPr="00EE524D">
        <w:rPr>
          <w:sz w:val="32"/>
          <w:szCs w:val="32"/>
        </w:rPr>
        <w:t xml:space="preserve"> условия</w:t>
      </w:r>
      <w:r w:rsidR="00B63205" w:rsidRPr="00EE524D">
        <w:rPr>
          <w:sz w:val="32"/>
          <w:szCs w:val="32"/>
        </w:rPr>
        <w:t xml:space="preserve">, не в полной мере подходят основной массе предприятий малого и среднего бизнеса, так как они рассчитаны в большинстве своем на крупный бизнес. Создание Российского экспортного агентства позволило бы привлечь к экспортной деятельности именно малые и средние предприятия, для которых </w:t>
      </w:r>
      <w:r w:rsidR="00B63205" w:rsidRPr="00EE524D">
        <w:rPr>
          <w:sz w:val="32"/>
          <w:szCs w:val="32"/>
        </w:rPr>
        <w:lastRenderedPageBreak/>
        <w:t xml:space="preserve">предпочтительно </w:t>
      </w:r>
      <w:r w:rsidR="00B63205" w:rsidRPr="00EE524D">
        <w:rPr>
          <w:b/>
          <w:sz w:val="32"/>
          <w:szCs w:val="32"/>
        </w:rPr>
        <w:t>упрощение таможенных процедур и</w:t>
      </w:r>
      <w:r w:rsidR="00B63205" w:rsidRPr="00EE524D">
        <w:rPr>
          <w:sz w:val="32"/>
          <w:szCs w:val="32"/>
        </w:rPr>
        <w:t xml:space="preserve"> </w:t>
      </w:r>
      <w:r w:rsidR="00B63205" w:rsidRPr="00EE524D">
        <w:rPr>
          <w:b/>
          <w:sz w:val="32"/>
          <w:szCs w:val="32"/>
        </w:rPr>
        <w:t>процесса возврата НДС</w:t>
      </w:r>
      <w:r w:rsidR="00B63205" w:rsidRPr="00EE524D">
        <w:rPr>
          <w:sz w:val="32"/>
          <w:szCs w:val="32"/>
        </w:rPr>
        <w:t xml:space="preserve">, </w:t>
      </w:r>
      <w:r w:rsidR="00B63205" w:rsidRPr="00EE524D">
        <w:rPr>
          <w:b/>
          <w:sz w:val="32"/>
          <w:szCs w:val="32"/>
        </w:rPr>
        <w:t>снижение налогового бремени</w:t>
      </w:r>
      <w:r w:rsidR="00B63205" w:rsidRPr="00EE524D">
        <w:rPr>
          <w:sz w:val="32"/>
          <w:szCs w:val="32"/>
        </w:rPr>
        <w:t xml:space="preserve">, </w:t>
      </w:r>
      <w:r w:rsidR="00B63205" w:rsidRPr="00EE524D">
        <w:rPr>
          <w:b/>
          <w:sz w:val="32"/>
          <w:szCs w:val="32"/>
        </w:rPr>
        <w:t>облегчение поиска партнеров за рубежом</w:t>
      </w:r>
      <w:r w:rsidR="00B63205" w:rsidRPr="00EE524D">
        <w:rPr>
          <w:sz w:val="32"/>
          <w:szCs w:val="32"/>
        </w:rPr>
        <w:t xml:space="preserve">, </w:t>
      </w:r>
      <w:r w:rsidR="00B63205" w:rsidRPr="00EE524D">
        <w:rPr>
          <w:b/>
          <w:sz w:val="32"/>
          <w:szCs w:val="32"/>
        </w:rPr>
        <w:t>проверка их репутации</w:t>
      </w:r>
      <w:r w:rsidR="00B63205" w:rsidRPr="00EE524D">
        <w:rPr>
          <w:sz w:val="32"/>
          <w:szCs w:val="32"/>
        </w:rPr>
        <w:t xml:space="preserve">. </w:t>
      </w:r>
    </w:p>
    <w:p w:rsidR="00B63205" w:rsidRPr="00EE524D" w:rsidRDefault="00B63205" w:rsidP="00EE524D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t>Развитие сельских территорий</w:t>
      </w:r>
    </w:p>
    <w:p w:rsidR="00B63205" w:rsidRPr="00EE524D" w:rsidRDefault="00B63205" w:rsidP="00EE524D">
      <w:pPr>
        <w:spacing w:line="360" w:lineRule="auto"/>
        <w:ind w:firstLine="709"/>
        <w:jc w:val="both"/>
        <w:rPr>
          <w:rFonts w:eastAsia="MS Mincho"/>
          <w:sz w:val="32"/>
          <w:szCs w:val="32"/>
          <w:lang w:eastAsia="ja-JP"/>
        </w:rPr>
      </w:pPr>
      <w:r w:rsidRPr="00EE524D">
        <w:rPr>
          <w:sz w:val="32"/>
          <w:szCs w:val="32"/>
        </w:rPr>
        <w:t>В целях сохранения и приумнож</w:t>
      </w:r>
      <w:r w:rsidR="004978DB">
        <w:rPr>
          <w:sz w:val="32"/>
          <w:szCs w:val="32"/>
        </w:rPr>
        <w:t>е</w:t>
      </w:r>
      <w:r w:rsidRPr="00EE524D">
        <w:rPr>
          <w:sz w:val="32"/>
          <w:szCs w:val="32"/>
        </w:rPr>
        <w:t>ния природного, социально-экономического и культурного потенциала села, по расчетам ВНИИЭСХ на основе стандартов уровня жизни на селе, для реализации этой цели потребуется не менее 6 трлн руб.</w:t>
      </w:r>
    </w:p>
    <w:p w:rsidR="00B63205" w:rsidRPr="00EE524D" w:rsidRDefault="005F03A1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При этом</w:t>
      </w:r>
      <w:r w:rsidR="00B63205" w:rsidRPr="00EE524D">
        <w:rPr>
          <w:sz w:val="32"/>
          <w:szCs w:val="32"/>
        </w:rPr>
        <w:t xml:space="preserve"> необходимо:</w:t>
      </w:r>
    </w:p>
    <w:p w:rsidR="00B63205" w:rsidRPr="00EE524D" w:rsidRDefault="00B63205" w:rsidP="00EE524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на межведомственной основе сформировать и утвердить научно-обоснованную систему нормативов социального обустройства сельских поселений;</w:t>
      </w:r>
    </w:p>
    <w:p w:rsidR="00B63205" w:rsidRPr="00EE524D" w:rsidRDefault="00B63205" w:rsidP="00EE524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укрепить налоговую базу местного сельского самоуправления для улучшения финансовых возможностей реализации законодательно установленных полномочий;</w:t>
      </w:r>
    </w:p>
    <w:p w:rsidR="00B63205" w:rsidRPr="00EE524D" w:rsidRDefault="00B63205" w:rsidP="00EE524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в целях повышения участия бизнеса в жилищном строительстве, развитии социальной и инженерной инфраструктуры села, создании рабочих мест в несельскохозяйственной сфере деятельности установить льготные системы налогообложения, кредитования и таможенного регулирования соответствующих сфер деятельности;</w:t>
      </w:r>
    </w:p>
    <w:p w:rsidR="00B63205" w:rsidRPr="00EE524D" w:rsidRDefault="00B63205" w:rsidP="00EE524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lastRenderedPageBreak/>
        <w:t>ввести льготные условия ипотечного жилищного кредитования для повышения доступности сельскому населению благоустроенного жилья.</w:t>
      </w:r>
    </w:p>
    <w:p w:rsidR="00B63205" w:rsidRDefault="00B63205" w:rsidP="00EE524D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MS Mincho"/>
          <w:sz w:val="32"/>
          <w:szCs w:val="32"/>
          <w:lang w:eastAsia="ja-JP"/>
        </w:rPr>
      </w:pPr>
      <w:r w:rsidRPr="00EE524D">
        <w:rPr>
          <w:rFonts w:eastAsia="MS Mincho"/>
          <w:sz w:val="32"/>
          <w:szCs w:val="32"/>
          <w:lang w:eastAsia="ja-JP"/>
        </w:rPr>
        <w:t>разработать организационно-экономические механизмы регулирования рынка иностранной рабочей силы в сельском хозяйстве.</w:t>
      </w:r>
    </w:p>
    <w:p w:rsidR="00B63205" w:rsidRPr="00EE524D" w:rsidRDefault="00B63205" w:rsidP="00EE524D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EE524D">
        <w:rPr>
          <w:b/>
          <w:sz w:val="32"/>
          <w:szCs w:val="32"/>
        </w:rPr>
        <w:t>Переход к разумной аграрной политике потребует существенных корректив во всей социально-экономической политике государства и значительных финансовых ресурсов.</w:t>
      </w:r>
    </w:p>
    <w:p w:rsidR="00B63205" w:rsidRPr="007C4900" w:rsidRDefault="00B63205" w:rsidP="00EE524D">
      <w:pPr>
        <w:pStyle w:val="ac"/>
        <w:ind w:firstLine="709"/>
        <w:rPr>
          <w:sz w:val="32"/>
          <w:szCs w:val="32"/>
        </w:rPr>
      </w:pPr>
      <w:r w:rsidRPr="007C4900">
        <w:rPr>
          <w:sz w:val="32"/>
          <w:szCs w:val="32"/>
        </w:rPr>
        <w:t xml:space="preserve">Чтобы обеспечить рентабельность сельскохозяйственных организаций на уровне, позволяющем осуществлять расширенное воспроизводство (не менее 30%) и одновременно выплачивать своим работникам заработную плату в размере 95% от средней по экономике страны, даже с учетом роста производительности труда до </w:t>
      </w:r>
      <w:smartTag w:uri="urn:schemas-microsoft-com:office:smarttags" w:element="metricconverter">
        <w:smartTagPr>
          <w:attr w:name="ProductID" w:val="2020 г"/>
        </w:smartTagPr>
        <w:r w:rsidRPr="007C4900">
          <w:rPr>
            <w:sz w:val="32"/>
            <w:szCs w:val="32"/>
          </w:rPr>
          <w:t>2020 г</w:t>
        </w:r>
      </w:smartTag>
      <w:r w:rsidRPr="007C4900">
        <w:rPr>
          <w:sz w:val="32"/>
          <w:szCs w:val="32"/>
        </w:rPr>
        <w:t>. на 70% ежегодно необходим</w:t>
      </w:r>
      <w:r w:rsidR="005F03A1" w:rsidRPr="007C4900">
        <w:rPr>
          <w:sz w:val="32"/>
          <w:szCs w:val="32"/>
        </w:rPr>
        <w:t>о</w:t>
      </w:r>
      <w:r w:rsidRPr="007C4900">
        <w:rPr>
          <w:sz w:val="32"/>
          <w:szCs w:val="32"/>
        </w:rPr>
        <w:t xml:space="preserve"> </w:t>
      </w:r>
      <w:r w:rsidR="005F03A1" w:rsidRPr="007C4900">
        <w:rPr>
          <w:sz w:val="32"/>
          <w:szCs w:val="32"/>
        </w:rPr>
        <w:t>совокупное финансирование из федерального и региональных бюджетов</w:t>
      </w:r>
      <w:r w:rsidR="00B578C9" w:rsidRPr="007C4900">
        <w:rPr>
          <w:sz w:val="32"/>
          <w:szCs w:val="32"/>
        </w:rPr>
        <w:t xml:space="preserve"> </w:t>
      </w:r>
      <w:r w:rsidRPr="007C4900">
        <w:rPr>
          <w:sz w:val="32"/>
          <w:szCs w:val="32"/>
        </w:rPr>
        <w:t>в объеме 7</w:t>
      </w:r>
      <w:r w:rsidR="00793BD4" w:rsidRPr="007C4900">
        <w:rPr>
          <w:sz w:val="32"/>
          <w:szCs w:val="32"/>
        </w:rPr>
        <w:t>00</w:t>
      </w:r>
      <w:r w:rsidRPr="007C4900">
        <w:rPr>
          <w:sz w:val="32"/>
          <w:szCs w:val="32"/>
        </w:rPr>
        <w:t>-750 млрд руб.</w:t>
      </w:r>
      <w:r w:rsidR="005F03A1" w:rsidRPr="007C4900">
        <w:rPr>
          <w:sz w:val="32"/>
          <w:szCs w:val="32"/>
        </w:rPr>
        <w:t xml:space="preserve"> против </w:t>
      </w:r>
      <w:r w:rsidR="00793BD4" w:rsidRPr="007C4900">
        <w:rPr>
          <w:sz w:val="32"/>
          <w:szCs w:val="32"/>
        </w:rPr>
        <w:t>2</w:t>
      </w:r>
      <w:r w:rsidR="00150E35" w:rsidRPr="007C4900">
        <w:rPr>
          <w:sz w:val="32"/>
          <w:szCs w:val="32"/>
        </w:rPr>
        <w:t>5</w:t>
      </w:r>
      <w:r w:rsidR="00793BD4" w:rsidRPr="007C4900">
        <w:rPr>
          <w:sz w:val="32"/>
          <w:szCs w:val="32"/>
        </w:rPr>
        <w:t>0-</w:t>
      </w:r>
      <w:r w:rsidR="00150E35" w:rsidRPr="007C4900">
        <w:rPr>
          <w:sz w:val="32"/>
          <w:szCs w:val="32"/>
        </w:rPr>
        <w:t>30</w:t>
      </w:r>
      <w:r w:rsidR="005F03A1" w:rsidRPr="007C4900">
        <w:rPr>
          <w:sz w:val="32"/>
          <w:szCs w:val="32"/>
        </w:rPr>
        <w:t>0 млрд руб. в настоящее время.</w:t>
      </w:r>
    </w:p>
    <w:p w:rsidR="0018118D" w:rsidRPr="007C4900" w:rsidRDefault="0018118D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В качестве источников, обеспечивающих потребность в дополнительных ресурсах, могут быть:</w:t>
      </w:r>
    </w:p>
    <w:p w:rsidR="0018118D" w:rsidRPr="007C4900" w:rsidRDefault="0018118D" w:rsidP="00EE524D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рост цен на 3-5% на сельскохозяйственную продукцию у ее производителей в связи с закупкой отечественной продукции в продовольственный фонд помощи нуждающемуся населению – 60-80 млрд руб.;</w:t>
      </w:r>
    </w:p>
    <w:p w:rsidR="0018118D" w:rsidRPr="007C4900" w:rsidRDefault="0018118D" w:rsidP="00EE524D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lastRenderedPageBreak/>
        <w:t>снижение темпов инфляции до 2-3% и потерь от нее – 100 млрд руб.;</w:t>
      </w:r>
    </w:p>
    <w:p w:rsidR="0018118D" w:rsidRPr="007C4900" w:rsidRDefault="0018118D" w:rsidP="00EE524D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отказ от субсидирования части процентной ставки в связи со снижением инфляции – 100 млрд руб.;</w:t>
      </w:r>
    </w:p>
    <w:p w:rsidR="0018118D" w:rsidRPr="007C4900" w:rsidRDefault="0018118D" w:rsidP="00EE524D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изменение условий применения ЕСХН и внедрение механизмов, позволяющих не включать в стоимость закупаемой продукции налог на добавленную стоимость – 50-60 млрд руб.;</w:t>
      </w:r>
    </w:p>
    <w:p w:rsidR="0018118D" w:rsidRPr="007C4900" w:rsidRDefault="0018118D" w:rsidP="00EE524D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7C4900">
        <w:rPr>
          <w:sz w:val="32"/>
          <w:szCs w:val="32"/>
        </w:rPr>
        <w:t>уменьшение расходов за счет экономии ресурсов и повышения эффективности их использования как результат создания приемлемых условий хозяйствования для предпринимательских структур  (на 3% в год) – 50 млрд руб.</w:t>
      </w:r>
    </w:p>
    <w:p w:rsidR="0018118D" w:rsidRPr="00EE524D" w:rsidRDefault="0018118D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Одновременно необходимо повышение доли сельскохозяйственных товаропроизводителей в конечной розничной цене продовольствия (с 28,5% до 35%) на основе широкого развития кооперации и введения механизма минимальных гарантированных цен на сельскохозяйственную продукцию.</w:t>
      </w:r>
    </w:p>
    <w:p w:rsidR="0018118D" w:rsidRPr="00EE524D" w:rsidRDefault="0018118D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При сложившихся объемах производства рост цен реализации на 1% эквивалентен приросту денежной выручки производителей продукции сельского хозяйства на 16 млрд рублей. Соответственно, экономия ресурсов на 1% высвобождает 12-14 млрд рублей. </w:t>
      </w:r>
    </w:p>
    <w:p w:rsidR="0018118D" w:rsidRPr="00EE524D" w:rsidRDefault="0018118D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Однако ухудшение макроэкономической ситуации в стране, отсутствие очевидных и скорых путей преодоления этих проблем, так называемая «оптимизация» бюджетных </w:t>
      </w:r>
      <w:r w:rsidRPr="00EE524D">
        <w:rPr>
          <w:sz w:val="32"/>
          <w:szCs w:val="32"/>
        </w:rPr>
        <w:lastRenderedPageBreak/>
        <w:t xml:space="preserve">расходов фактически формирует на ближайшую перспективу </w:t>
      </w:r>
      <w:r w:rsidRPr="00EE524D">
        <w:rPr>
          <w:b/>
          <w:sz w:val="32"/>
          <w:szCs w:val="32"/>
        </w:rPr>
        <w:t>дополнительные риски</w:t>
      </w:r>
      <w:r w:rsidRPr="00EE524D">
        <w:rPr>
          <w:sz w:val="32"/>
          <w:szCs w:val="32"/>
        </w:rPr>
        <w:t xml:space="preserve"> развития сельского хозяйства.</w:t>
      </w:r>
    </w:p>
    <w:p w:rsidR="0018118D" w:rsidRPr="00EE524D" w:rsidRDefault="0018118D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Как следует из утвержденного Федерального бюджета, в </w:t>
      </w:r>
      <w:r w:rsidR="006820C7" w:rsidRPr="00EE524D">
        <w:rPr>
          <w:sz w:val="32"/>
          <w:szCs w:val="32"/>
        </w:rPr>
        <w:t xml:space="preserve">2014 году финансирование Государственной программы в </w:t>
      </w:r>
      <w:r w:rsidRPr="00EE524D">
        <w:rPr>
          <w:sz w:val="32"/>
          <w:szCs w:val="32"/>
        </w:rPr>
        <w:t xml:space="preserve">целом сокращается </w:t>
      </w:r>
      <w:r w:rsidR="006820C7" w:rsidRPr="00EE524D">
        <w:rPr>
          <w:sz w:val="32"/>
          <w:szCs w:val="32"/>
        </w:rPr>
        <w:t xml:space="preserve">по сравнению с фактическим уровнем 2013 года (с учетом дополнительно выделенных 42 млрд руб.) на 13%. В 2015 году против утвержденной программы сокращается на 2%, а в 2016 г. – уже на 8%. </w:t>
      </w:r>
      <w:r w:rsidR="003C14FA" w:rsidRPr="00EE524D">
        <w:rPr>
          <w:sz w:val="32"/>
          <w:szCs w:val="32"/>
        </w:rPr>
        <w:t xml:space="preserve">Что касается </w:t>
      </w:r>
      <w:r w:rsidR="002A3A50" w:rsidRPr="00EE524D">
        <w:rPr>
          <w:sz w:val="32"/>
          <w:szCs w:val="32"/>
        </w:rPr>
        <w:t>поддержк</w:t>
      </w:r>
      <w:r w:rsidR="003C14FA" w:rsidRPr="00EE524D">
        <w:rPr>
          <w:sz w:val="32"/>
          <w:szCs w:val="32"/>
        </w:rPr>
        <w:t>и</w:t>
      </w:r>
      <w:r w:rsidR="002A3A50" w:rsidRPr="00EE524D">
        <w:rPr>
          <w:sz w:val="32"/>
          <w:szCs w:val="32"/>
        </w:rPr>
        <w:t xml:space="preserve"> малых форм хозяйствования</w:t>
      </w:r>
      <w:r w:rsidR="003C14FA" w:rsidRPr="00EE524D">
        <w:rPr>
          <w:sz w:val="32"/>
          <w:szCs w:val="32"/>
        </w:rPr>
        <w:t>, то если не будет принято дополнительных решений, она</w:t>
      </w:r>
      <w:r w:rsidR="002A3A50" w:rsidRPr="00EE524D">
        <w:rPr>
          <w:sz w:val="32"/>
          <w:szCs w:val="32"/>
        </w:rPr>
        <w:t xml:space="preserve"> сокра</w:t>
      </w:r>
      <w:r w:rsidR="003C14FA" w:rsidRPr="00EE524D">
        <w:rPr>
          <w:sz w:val="32"/>
          <w:szCs w:val="32"/>
        </w:rPr>
        <w:t>тится</w:t>
      </w:r>
      <w:r w:rsidR="002A3A50" w:rsidRPr="00EE524D">
        <w:rPr>
          <w:sz w:val="32"/>
          <w:szCs w:val="32"/>
        </w:rPr>
        <w:t xml:space="preserve"> против утвержденной программы на 5% в 2014 и 2015 годах и на 9% в 2016 году.</w:t>
      </w:r>
    </w:p>
    <w:p w:rsidR="00B578C9" w:rsidRPr="00EE524D" w:rsidRDefault="00E46907" w:rsidP="00EE524D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Вот почему</w:t>
      </w:r>
      <w:r w:rsidR="004C00B6" w:rsidRPr="00EE524D">
        <w:rPr>
          <w:sz w:val="32"/>
          <w:szCs w:val="32"/>
        </w:rPr>
        <w:t xml:space="preserve"> </w:t>
      </w:r>
      <w:r w:rsidR="00B578C9" w:rsidRPr="00EE524D">
        <w:rPr>
          <w:sz w:val="32"/>
          <w:szCs w:val="32"/>
        </w:rPr>
        <w:t xml:space="preserve">необходимость сформулировать новые подходы к развитию сельского хозяйства становится все более очевидной, особенно в свете последних прогнозов Минэкономразвития России, </w:t>
      </w:r>
      <w:r w:rsidR="004C00B6" w:rsidRPr="00EE524D">
        <w:rPr>
          <w:sz w:val="32"/>
          <w:szCs w:val="32"/>
        </w:rPr>
        <w:t xml:space="preserve">в которых закладывается </w:t>
      </w:r>
      <w:r w:rsidR="00B578C9" w:rsidRPr="00EE524D">
        <w:rPr>
          <w:sz w:val="32"/>
          <w:szCs w:val="32"/>
        </w:rPr>
        <w:t>стагнационн</w:t>
      </w:r>
      <w:r w:rsidR="004C00B6" w:rsidRPr="00EE524D">
        <w:rPr>
          <w:sz w:val="32"/>
          <w:szCs w:val="32"/>
        </w:rPr>
        <w:t>ая</w:t>
      </w:r>
      <w:r w:rsidR="00B578C9" w:rsidRPr="00EE524D">
        <w:rPr>
          <w:sz w:val="32"/>
          <w:szCs w:val="32"/>
        </w:rPr>
        <w:t xml:space="preserve"> модель функционирования сельского хозяйства не только на ближайшую перспективу, т.е. до 2020 года, но и более отдаленную – до 2030 года. В этом прогнозе заложено 2 варианта, по нашему мнению, плохой и очень плохой. </w:t>
      </w:r>
    </w:p>
    <w:p w:rsidR="004C00B6" w:rsidRPr="00EE524D" w:rsidRDefault="00B578C9" w:rsidP="00EE524D">
      <w:pPr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По лучшему из них темпы развития сельского хозяйства снизятся с 2,9 % в 2014 году до 1,7 в 2020 году, а по второму варианту – еще меньше – до 1,4 %. Зерна, скота и птицы будет производиться меньше, чем предусмотрено Госпрограммой</w:t>
      </w:r>
      <w:r w:rsidR="004C00B6" w:rsidRPr="00EE524D">
        <w:rPr>
          <w:sz w:val="32"/>
          <w:szCs w:val="32"/>
        </w:rPr>
        <w:t>,</w:t>
      </w:r>
      <w:r w:rsidRPr="00EE524D">
        <w:rPr>
          <w:sz w:val="32"/>
          <w:szCs w:val="32"/>
        </w:rPr>
        <w:t xml:space="preserve"> </w:t>
      </w:r>
      <w:r w:rsidR="004C00B6" w:rsidRPr="00EE524D">
        <w:rPr>
          <w:sz w:val="32"/>
          <w:szCs w:val="32"/>
        </w:rPr>
        <w:t>а</w:t>
      </w:r>
      <w:r w:rsidRPr="00EE524D">
        <w:rPr>
          <w:sz w:val="32"/>
          <w:szCs w:val="32"/>
        </w:rPr>
        <w:t xml:space="preserve"> </w:t>
      </w:r>
      <w:r w:rsidR="004C00B6" w:rsidRPr="00EE524D">
        <w:rPr>
          <w:sz w:val="32"/>
          <w:szCs w:val="32"/>
        </w:rPr>
        <w:t xml:space="preserve">производство </w:t>
      </w:r>
      <w:r w:rsidRPr="00EE524D">
        <w:rPr>
          <w:sz w:val="32"/>
          <w:szCs w:val="32"/>
        </w:rPr>
        <w:t>молок</w:t>
      </w:r>
      <w:r w:rsidR="004C00B6" w:rsidRPr="00EE524D">
        <w:rPr>
          <w:sz w:val="32"/>
          <w:szCs w:val="32"/>
        </w:rPr>
        <w:t>а останется практически на нынешнем уровне.</w:t>
      </w:r>
    </w:p>
    <w:p w:rsidR="004C00B6" w:rsidRPr="00EE524D" w:rsidRDefault="00B578C9" w:rsidP="00EE524D">
      <w:pPr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lastRenderedPageBreak/>
        <w:t xml:space="preserve">К 2030 году среднегодовой прирост продукции сельского хозяйства ожидается на уровне 2%, это ниже, чем в среднем будет расти мировое сельское хозяйство. </w:t>
      </w:r>
    </w:p>
    <w:p w:rsidR="00291846" w:rsidRDefault="00B578C9" w:rsidP="00EE524D">
      <w:pPr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Конечно, с позиций достижения прогнозных показателей – это самый лучший вариант – никакого напряжения, минимум финансовых ресурсов и хороший отчет о выполнении Госпрограммы в 2020 году. </w:t>
      </w:r>
    </w:p>
    <w:p w:rsidR="00B578C9" w:rsidRPr="00EE524D" w:rsidRDefault="00B578C9" w:rsidP="00EE524D">
      <w:pPr>
        <w:spacing w:line="360" w:lineRule="auto"/>
        <w:ind w:firstLine="720"/>
        <w:jc w:val="both"/>
        <w:rPr>
          <w:sz w:val="32"/>
          <w:szCs w:val="32"/>
        </w:rPr>
      </w:pPr>
      <w:r w:rsidRPr="00EE524D">
        <w:rPr>
          <w:sz w:val="32"/>
          <w:szCs w:val="32"/>
        </w:rPr>
        <w:t>Но на наш взгляд, сценарии Минэкономразвития – это не прогноз, а признание собственного бессилия и невозможности за 8 лет каким-либо образом изменить ситуацию.</w:t>
      </w:r>
    </w:p>
    <w:p w:rsidR="00111BA1" w:rsidRPr="00EE524D" w:rsidRDefault="00425222" w:rsidP="00EE524D">
      <w:pPr>
        <w:spacing w:line="360" w:lineRule="auto"/>
        <w:ind w:firstLine="709"/>
        <w:jc w:val="both"/>
        <w:rPr>
          <w:sz w:val="32"/>
          <w:szCs w:val="32"/>
        </w:rPr>
      </w:pPr>
      <w:r w:rsidRPr="00EE524D">
        <w:rPr>
          <w:sz w:val="32"/>
          <w:szCs w:val="32"/>
        </w:rPr>
        <w:t xml:space="preserve">Кроме того, не надо забывать, что на ситуацию в АПК будет оказывать влияние наше пребывание в ВТО, по соглашению с которой тарифная защита нашего внутреннего рынка в последующие годы будет только снижаться. </w:t>
      </w:r>
    </w:p>
    <w:p w:rsidR="00425222" w:rsidRPr="00D17F9A" w:rsidRDefault="00425222" w:rsidP="00EE524D">
      <w:pPr>
        <w:spacing w:line="360" w:lineRule="auto"/>
        <w:ind w:firstLine="709"/>
        <w:jc w:val="both"/>
        <w:rPr>
          <w:spacing w:val="-20"/>
          <w:sz w:val="32"/>
          <w:szCs w:val="32"/>
        </w:rPr>
      </w:pPr>
      <w:r w:rsidRPr="00D17F9A">
        <w:rPr>
          <w:spacing w:val="-20"/>
          <w:sz w:val="32"/>
          <w:szCs w:val="32"/>
        </w:rPr>
        <w:t>В связи с этим есть поручение Президента рассмотре</w:t>
      </w:r>
      <w:r w:rsidR="005B0F25" w:rsidRPr="00D17F9A">
        <w:rPr>
          <w:spacing w:val="-20"/>
          <w:sz w:val="32"/>
          <w:szCs w:val="32"/>
        </w:rPr>
        <w:t xml:space="preserve">ть </w:t>
      </w:r>
      <w:r w:rsidR="00111BA1" w:rsidRPr="00D17F9A">
        <w:rPr>
          <w:spacing w:val="-20"/>
          <w:sz w:val="32"/>
          <w:szCs w:val="32"/>
        </w:rPr>
        <w:t xml:space="preserve">в марте 2014 г. </w:t>
      </w:r>
      <w:r w:rsidRPr="00D17F9A">
        <w:rPr>
          <w:spacing w:val="-20"/>
          <w:sz w:val="32"/>
          <w:szCs w:val="32"/>
        </w:rPr>
        <w:t xml:space="preserve">на Государственном </w:t>
      </w:r>
      <w:r w:rsidR="005B0F25" w:rsidRPr="00D17F9A">
        <w:rPr>
          <w:spacing w:val="-20"/>
          <w:sz w:val="32"/>
          <w:szCs w:val="32"/>
        </w:rPr>
        <w:t>С</w:t>
      </w:r>
      <w:r w:rsidRPr="00D17F9A">
        <w:rPr>
          <w:spacing w:val="-20"/>
          <w:sz w:val="32"/>
          <w:szCs w:val="32"/>
        </w:rPr>
        <w:t>овете вопрос</w:t>
      </w:r>
      <w:r w:rsidR="005B0F25" w:rsidRPr="00D17F9A">
        <w:rPr>
          <w:spacing w:val="-20"/>
          <w:sz w:val="32"/>
          <w:szCs w:val="32"/>
        </w:rPr>
        <w:t>ы обеспечения</w:t>
      </w:r>
      <w:r w:rsidRPr="00D17F9A">
        <w:rPr>
          <w:spacing w:val="-20"/>
          <w:sz w:val="32"/>
          <w:szCs w:val="32"/>
        </w:rPr>
        <w:t xml:space="preserve"> конкурентоспособности </w:t>
      </w:r>
      <w:r w:rsidR="005B0F25" w:rsidRPr="00D17F9A">
        <w:rPr>
          <w:spacing w:val="-20"/>
          <w:sz w:val="32"/>
          <w:szCs w:val="32"/>
        </w:rPr>
        <w:t xml:space="preserve">нашей экономики, в том числе аграрного сектора, </w:t>
      </w:r>
      <w:r w:rsidRPr="00D17F9A">
        <w:rPr>
          <w:spacing w:val="-20"/>
          <w:sz w:val="32"/>
          <w:szCs w:val="32"/>
        </w:rPr>
        <w:t xml:space="preserve">в условиях участия России в этой организации. </w:t>
      </w:r>
      <w:r w:rsidR="005B0F25" w:rsidRPr="00D17F9A">
        <w:rPr>
          <w:spacing w:val="-20"/>
          <w:sz w:val="32"/>
          <w:szCs w:val="32"/>
        </w:rPr>
        <w:t xml:space="preserve">При этом </w:t>
      </w:r>
      <w:r w:rsidRPr="00D17F9A">
        <w:rPr>
          <w:spacing w:val="-20"/>
          <w:sz w:val="32"/>
          <w:szCs w:val="32"/>
        </w:rPr>
        <w:t xml:space="preserve">сформирована Рабочая группа, </w:t>
      </w:r>
      <w:r w:rsidR="00111BA1" w:rsidRPr="00D17F9A">
        <w:rPr>
          <w:spacing w:val="-20"/>
          <w:sz w:val="32"/>
          <w:szCs w:val="32"/>
        </w:rPr>
        <w:t xml:space="preserve">возглавляемая Евгением Степановичем Савченко – губернатором Белгородской области, </w:t>
      </w:r>
      <w:r w:rsidRPr="00D17F9A">
        <w:rPr>
          <w:spacing w:val="-20"/>
          <w:sz w:val="32"/>
          <w:szCs w:val="32"/>
        </w:rPr>
        <w:t xml:space="preserve">начата работа по анализу последствий годичного пребывания страны в ВТО и выработке предложений. </w:t>
      </w:r>
      <w:r w:rsidR="005B0F25" w:rsidRPr="00D17F9A">
        <w:rPr>
          <w:spacing w:val="-20"/>
          <w:sz w:val="32"/>
          <w:szCs w:val="32"/>
        </w:rPr>
        <w:t xml:space="preserve">На наш взгляд, </w:t>
      </w:r>
      <w:r w:rsidRPr="00D17F9A">
        <w:rPr>
          <w:spacing w:val="-20"/>
          <w:sz w:val="32"/>
          <w:szCs w:val="32"/>
        </w:rPr>
        <w:t xml:space="preserve">АККОРу необходимо принимать </w:t>
      </w:r>
      <w:r w:rsidR="005B0F25" w:rsidRPr="00D17F9A">
        <w:rPr>
          <w:spacing w:val="-20"/>
          <w:sz w:val="32"/>
          <w:szCs w:val="32"/>
        </w:rPr>
        <w:t xml:space="preserve">активное </w:t>
      </w:r>
      <w:r w:rsidRPr="00D17F9A">
        <w:rPr>
          <w:spacing w:val="-20"/>
          <w:sz w:val="32"/>
          <w:szCs w:val="32"/>
        </w:rPr>
        <w:t>участие в выработке таких предложений.</w:t>
      </w:r>
    </w:p>
    <w:p w:rsidR="00E87748" w:rsidRPr="00D17F9A" w:rsidRDefault="008F765F" w:rsidP="00EE524D">
      <w:pPr>
        <w:spacing w:line="360" w:lineRule="auto"/>
        <w:ind w:firstLine="709"/>
        <w:jc w:val="both"/>
        <w:rPr>
          <w:spacing w:val="-20"/>
          <w:sz w:val="32"/>
          <w:szCs w:val="32"/>
        </w:rPr>
      </w:pPr>
      <w:r w:rsidRPr="00D17F9A">
        <w:rPr>
          <w:spacing w:val="-20"/>
          <w:sz w:val="32"/>
          <w:szCs w:val="32"/>
        </w:rPr>
        <w:t>В заключении м</w:t>
      </w:r>
      <w:r w:rsidR="00E87748" w:rsidRPr="00D17F9A">
        <w:rPr>
          <w:spacing w:val="-20"/>
          <w:sz w:val="32"/>
          <w:szCs w:val="32"/>
        </w:rPr>
        <w:t xml:space="preserve">ы </w:t>
      </w:r>
      <w:r w:rsidRPr="00D17F9A">
        <w:rPr>
          <w:spacing w:val="-20"/>
          <w:sz w:val="32"/>
          <w:szCs w:val="32"/>
        </w:rPr>
        <w:t xml:space="preserve">все же </w:t>
      </w:r>
      <w:r w:rsidR="00E87748" w:rsidRPr="00D17F9A">
        <w:rPr>
          <w:spacing w:val="-20"/>
          <w:sz w:val="32"/>
          <w:szCs w:val="32"/>
        </w:rPr>
        <w:t xml:space="preserve">остаемся оптимистами и надеемся, что у </w:t>
      </w:r>
      <w:r w:rsidRPr="00D17F9A">
        <w:rPr>
          <w:spacing w:val="-20"/>
          <w:sz w:val="32"/>
          <w:szCs w:val="32"/>
        </w:rPr>
        <w:t xml:space="preserve">исполнительной и законодательной </w:t>
      </w:r>
      <w:r w:rsidR="00E87748" w:rsidRPr="00D17F9A">
        <w:rPr>
          <w:spacing w:val="-20"/>
          <w:sz w:val="32"/>
          <w:szCs w:val="32"/>
        </w:rPr>
        <w:t>власти найдется дост</w:t>
      </w:r>
      <w:r w:rsidR="00912697" w:rsidRPr="00D17F9A">
        <w:rPr>
          <w:spacing w:val="-20"/>
          <w:sz w:val="32"/>
          <w:szCs w:val="32"/>
        </w:rPr>
        <w:t>аточно</w:t>
      </w:r>
      <w:r w:rsidR="00E87748" w:rsidRPr="00D17F9A">
        <w:rPr>
          <w:spacing w:val="-20"/>
          <w:sz w:val="32"/>
          <w:szCs w:val="32"/>
        </w:rPr>
        <w:t xml:space="preserve"> </w:t>
      </w:r>
      <w:r w:rsidR="00912697" w:rsidRPr="00D17F9A">
        <w:rPr>
          <w:spacing w:val="-20"/>
          <w:sz w:val="32"/>
          <w:szCs w:val="32"/>
        </w:rPr>
        <w:t>понимания сельских проблем и ресурсов,</w:t>
      </w:r>
      <w:r w:rsidR="00E87748" w:rsidRPr="00D17F9A">
        <w:rPr>
          <w:spacing w:val="-20"/>
          <w:sz w:val="32"/>
          <w:szCs w:val="32"/>
        </w:rPr>
        <w:t xml:space="preserve"> чтобы принять решение</w:t>
      </w:r>
      <w:r w:rsidR="00912697" w:rsidRPr="00D17F9A">
        <w:rPr>
          <w:spacing w:val="-20"/>
          <w:sz w:val="32"/>
          <w:szCs w:val="32"/>
        </w:rPr>
        <w:t xml:space="preserve"> по </w:t>
      </w:r>
      <w:r w:rsidR="00912697" w:rsidRPr="00D17F9A">
        <w:rPr>
          <w:spacing w:val="-20"/>
          <w:sz w:val="32"/>
          <w:szCs w:val="32"/>
        </w:rPr>
        <w:lastRenderedPageBreak/>
        <w:t>ка</w:t>
      </w:r>
      <w:r w:rsidR="00E87748" w:rsidRPr="00D17F9A">
        <w:rPr>
          <w:spacing w:val="-20"/>
          <w:sz w:val="32"/>
          <w:szCs w:val="32"/>
        </w:rPr>
        <w:t>рдинальному</w:t>
      </w:r>
      <w:r w:rsidR="00912697" w:rsidRPr="00D17F9A">
        <w:rPr>
          <w:spacing w:val="-20"/>
          <w:sz w:val="32"/>
          <w:szCs w:val="32"/>
        </w:rPr>
        <w:t xml:space="preserve"> изменению ситуации. Н</w:t>
      </w:r>
      <w:r w:rsidR="00E87748" w:rsidRPr="00D17F9A">
        <w:rPr>
          <w:spacing w:val="-20"/>
          <w:sz w:val="32"/>
          <w:szCs w:val="32"/>
        </w:rPr>
        <w:t>о для этого</w:t>
      </w:r>
      <w:r w:rsidR="00912697" w:rsidRPr="00D17F9A">
        <w:rPr>
          <w:spacing w:val="-20"/>
          <w:sz w:val="32"/>
          <w:szCs w:val="32"/>
        </w:rPr>
        <w:t>, прежде всего, необходимо повышать эффективность имеющегося производственного потенциала и выделяемых ресурсов,</w:t>
      </w:r>
      <w:r w:rsidR="00E87748" w:rsidRPr="00D17F9A">
        <w:rPr>
          <w:spacing w:val="-20"/>
          <w:sz w:val="32"/>
          <w:szCs w:val="32"/>
        </w:rPr>
        <w:t xml:space="preserve"> </w:t>
      </w:r>
      <w:r w:rsidRPr="00D17F9A">
        <w:rPr>
          <w:spacing w:val="-20"/>
          <w:sz w:val="32"/>
          <w:szCs w:val="32"/>
        </w:rPr>
        <w:t xml:space="preserve">а </w:t>
      </w:r>
      <w:r w:rsidR="00E87748" w:rsidRPr="00D17F9A">
        <w:rPr>
          <w:spacing w:val="-20"/>
          <w:sz w:val="32"/>
          <w:szCs w:val="32"/>
        </w:rPr>
        <w:t>нам, ученым, давать более глубокие</w:t>
      </w:r>
      <w:r w:rsidR="00912697" w:rsidRPr="00D17F9A">
        <w:rPr>
          <w:spacing w:val="-20"/>
          <w:sz w:val="32"/>
          <w:szCs w:val="32"/>
        </w:rPr>
        <w:t xml:space="preserve"> обоснования по совершенствованию аграрной политики</w:t>
      </w:r>
      <w:r w:rsidRPr="00D17F9A">
        <w:rPr>
          <w:spacing w:val="-20"/>
          <w:sz w:val="32"/>
          <w:szCs w:val="32"/>
        </w:rPr>
        <w:t xml:space="preserve">. Что касается </w:t>
      </w:r>
      <w:r w:rsidR="00912697" w:rsidRPr="00D17F9A">
        <w:rPr>
          <w:spacing w:val="-20"/>
          <w:sz w:val="32"/>
          <w:szCs w:val="32"/>
        </w:rPr>
        <w:t>общественны</w:t>
      </w:r>
      <w:r w:rsidRPr="00D17F9A">
        <w:rPr>
          <w:spacing w:val="-20"/>
          <w:sz w:val="32"/>
          <w:szCs w:val="32"/>
        </w:rPr>
        <w:t>х</w:t>
      </w:r>
      <w:r w:rsidR="00912697" w:rsidRPr="00D17F9A">
        <w:rPr>
          <w:spacing w:val="-20"/>
          <w:sz w:val="32"/>
          <w:szCs w:val="32"/>
        </w:rPr>
        <w:t xml:space="preserve"> ор</w:t>
      </w:r>
      <w:r w:rsidR="00E87748" w:rsidRPr="00D17F9A">
        <w:rPr>
          <w:spacing w:val="-20"/>
          <w:sz w:val="32"/>
          <w:szCs w:val="32"/>
        </w:rPr>
        <w:t>г</w:t>
      </w:r>
      <w:r w:rsidR="00912697" w:rsidRPr="00D17F9A">
        <w:rPr>
          <w:spacing w:val="-20"/>
          <w:sz w:val="32"/>
          <w:szCs w:val="32"/>
        </w:rPr>
        <w:t>анизаци</w:t>
      </w:r>
      <w:r w:rsidRPr="00D17F9A">
        <w:rPr>
          <w:spacing w:val="-20"/>
          <w:sz w:val="32"/>
          <w:szCs w:val="32"/>
        </w:rPr>
        <w:t>й и, прежде всего,</w:t>
      </w:r>
      <w:r w:rsidR="00E87748" w:rsidRPr="00D17F9A">
        <w:rPr>
          <w:spacing w:val="-20"/>
          <w:sz w:val="32"/>
          <w:szCs w:val="32"/>
        </w:rPr>
        <w:t xml:space="preserve"> АККОР, </w:t>
      </w:r>
      <w:r w:rsidRPr="00D17F9A">
        <w:rPr>
          <w:spacing w:val="-20"/>
          <w:sz w:val="32"/>
          <w:szCs w:val="32"/>
        </w:rPr>
        <w:t xml:space="preserve">то необходимо </w:t>
      </w:r>
      <w:r w:rsidR="00912697" w:rsidRPr="00D17F9A">
        <w:rPr>
          <w:spacing w:val="-20"/>
          <w:sz w:val="32"/>
          <w:szCs w:val="32"/>
        </w:rPr>
        <w:t xml:space="preserve">быть </w:t>
      </w:r>
      <w:r w:rsidR="00E87748" w:rsidRPr="00D17F9A">
        <w:rPr>
          <w:spacing w:val="-20"/>
          <w:sz w:val="32"/>
          <w:szCs w:val="32"/>
        </w:rPr>
        <w:t>более настойчивыми в отстаивании св</w:t>
      </w:r>
      <w:r w:rsidR="00912697" w:rsidRPr="00D17F9A">
        <w:rPr>
          <w:spacing w:val="-20"/>
          <w:sz w:val="32"/>
          <w:szCs w:val="32"/>
        </w:rPr>
        <w:t>оих интересов, поскольку они я</w:t>
      </w:r>
      <w:r w:rsidR="00E87748" w:rsidRPr="00D17F9A">
        <w:rPr>
          <w:spacing w:val="-20"/>
          <w:sz w:val="32"/>
          <w:szCs w:val="32"/>
        </w:rPr>
        <w:t>в</w:t>
      </w:r>
      <w:r w:rsidR="00912697" w:rsidRPr="00D17F9A">
        <w:rPr>
          <w:spacing w:val="-20"/>
          <w:sz w:val="32"/>
          <w:szCs w:val="32"/>
        </w:rPr>
        <w:t>ляются</w:t>
      </w:r>
      <w:r w:rsidR="00E87748" w:rsidRPr="00D17F9A">
        <w:rPr>
          <w:spacing w:val="-20"/>
          <w:sz w:val="32"/>
          <w:szCs w:val="32"/>
        </w:rPr>
        <w:t xml:space="preserve"> не только инт</w:t>
      </w:r>
      <w:r w:rsidR="00912697" w:rsidRPr="00D17F9A">
        <w:rPr>
          <w:spacing w:val="-20"/>
          <w:sz w:val="32"/>
          <w:szCs w:val="32"/>
        </w:rPr>
        <w:t>е</w:t>
      </w:r>
      <w:r w:rsidR="00E87748" w:rsidRPr="00D17F9A">
        <w:rPr>
          <w:spacing w:val="-20"/>
          <w:sz w:val="32"/>
          <w:szCs w:val="32"/>
        </w:rPr>
        <w:t>ресами фермерства</w:t>
      </w:r>
      <w:r w:rsidR="00912697" w:rsidRPr="00D17F9A">
        <w:rPr>
          <w:spacing w:val="-20"/>
          <w:sz w:val="32"/>
          <w:szCs w:val="32"/>
        </w:rPr>
        <w:t xml:space="preserve"> и</w:t>
      </w:r>
      <w:r w:rsidR="00E87748" w:rsidRPr="00D17F9A">
        <w:rPr>
          <w:spacing w:val="-20"/>
          <w:sz w:val="32"/>
          <w:szCs w:val="32"/>
        </w:rPr>
        <w:t xml:space="preserve"> </w:t>
      </w:r>
      <w:r w:rsidR="00912697" w:rsidRPr="00D17F9A">
        <w:rPr>
          <w:spacing w:val="-20"/>
          <w:sz w:val="32"/>
          <w:szCs w:val="32"/>
        </w:rPr>
        <w:t>отрасли, но и государства в целом</w:t>
      </w:r>
      <w:r w:rsidR="00E87748" w:rsidRPr="00D17F9A">
        <w:rPr>
          <w:spacing w:val="-20"/>
          <w:sz w:val="32"/>
          <w:szCs w:val="32"/>
        </w:rPr>
        <w:t xml:space="preserve">. </w:t>
      </w:r>
    </w:p>
    <w:p w:rsidR="003A7A72" w:rsidRPr="00D17F9A" w:rsidRDefault="003A7A72" w:rsidP="00EE524D">
      <w:pPr>
        <w:spacing w:line="360" w:lineRule="auto"/>
        <w:ind w:firstLine="709"/>
        <w:jc w:val="both"/>
        <w:rPr>
          <w:spacing w:val="-20"/>
          <w:sz w:val="32"/>
          <w:szCs w:val="32"/>
        </w:rPr>
      </w:pPr>
      <w:r w:rsidRPr="00D17F9A">
        <w:rPr>
          <w:spacing w:val="-20"/>
          <w:sz w:val="32"/>
          <w:szCs w:val="32"/>
        </w:rPr>
        <w:t>Благодарю за внимание!</w:t>
      </w:r>
    </w:p>
    <w:sectPr w:rsidR="003A7A72" w:rsidRPr="00D17F9A" w:rsidSect="00291846">
      <w:footerReference w:type="default" r:id="rId13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BB" w:rsidRDefault="00FB6FBB" w:rsidP="00D206C0">
      <w:r>
        <w:separator/>
      </w:r>
    </w:p>
  </w:endnote>
  <w:endnote w:type="continuationSeparator" w:id="1">
    <w:p w:rsidR="00FB6FBB" w:rsidRDefault="00FB6FBB" w:rsidP="00D2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0C" w:rsidRDefault="000E6803">
    <w:pPr>
      <w:pStyle w:val="a5"/>
      <w:jc w:val="center"/>
    </w:pPr>
    <w:fldSimple w:instr=" PAGE   \* MERGEFORMAT ">
      <w:r w:rsidR="00AF5B0D">
        <w:rPr>
          <w:noProof/>
        </w:rPr>
        <w:t>24</w:t>
      </w:r>
    </w:fldSimple>
  </w:p>
  <w:p w:rsidR="00D206C0" w:rsidRDefault="00D206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BB" w:rsidRDefault="00FB6FBB" w:rsidP="00D206C0">
      <w:r>
        <w:separator/>
      </w:r>
    </w:p>
  </w:footnote>
  <w:footnote w:type="continuationSeparator" w:id="1">
    <w:p w:rsidR="00FB6FBB" w:rsidRDefault="00FB6FBB" w:rsidP="00D20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DF4"/>
    <w:multiLevelType w:val="hybridMultilevel"/>
    <w:tmpl w:val="C7EC4E7A"/>
    <w:lvl w:ilvl="0" w:tplc="92BA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9455F"/>
    <w:multiLevelType w:val="hybridMultilevel"/>
    <w:tmpl w:val="C8D64FDC"/>
    <w:lvl w:ilvl="0" w:tplc="95AA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BB01EB"/>
    <w:multiLevelType w:val="hybridMultilevel"/>
    <w:tmpl w:val="7A4AF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6614"/>
    <w:multiLevelType w:val="multilevel"/>
    <w:tmpl w:val="D7881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34014CE2"/>
    <w:multiLevelType w:val="hybridMultilevel"/>
    <w:tmpl w:val="87F65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8789F"/>
    <w:multiLevelType w:val="hybridMultilevel"/>
    <w:tmpl w:val="7622990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1809"/>
    <w:multiLevelType w:val="hybridMultilevel"/>
    <w:tmpl w:val="6BFC0E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AF26CF"/>
    <w:multiLevelType w:val="hybridMultilevel"/>
    <w:tmpl w:val="192046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FB2F28"/>
    <w:multiLevelType w:val="hybridMultilevel"/>
    <w:tmpl w:val="9D7037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9F444B"/>
    <w:multiLevelType w:val="hybridMultilevel"/>
    <w:tmpl w:val="76F635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2B74EA"/>
    <w:multiLevelType w:val="hybridMultilevel"/>
    <w:tmpl w:val="0CC422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A1658F"/>
    <w:multiLevelType w:val="hybridMultilevel"/>
    <w:tmpl w:val="B20C1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B066F9"/>
    <w:multiLevelType w:val="hybridMultilevel"/>
    <w:tmpl w:val="67104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C0"/>
    <w:rsid w:val="000122EC"/>
    <w:rsid w:val="00020E14"/>
    <w:rsid w:val="0004594B"/>
    <w:rsid w:val="00051F19"/>
    <w:rsid w:val="000638C1"/>
    <w:rsid w:val="00074CB5"/>
    <w:rsid w:val="00076E6C"/>
    <w:rsid w:val="00090A3D"/>
    <w:rsid w:val="000911DD"/>
    <w:rsid w:val="00093D8C"/>
    <w:rsid w:val="000A2A52"/>
    <w:rsid w:val="000A69F4"/>
    <w:rsid w:val="000A6A65"/>
    <w:rsid w:val="000C3EE4"/>
    <w:rsid w:val="000E6803"/>
    <w:rsid w:val="000F4E4E"/>
    <w:rsid w:val="000F5F64"/>
    <w:rsid w:val="0010668C"/>
    <w:rsid w:val="00111BA1"/>
    <w:rsid w:val="001452AB"/>
    <w:rsid w:val="00147EC6"/>
    <w:rsid w:val="001500DC"/>
    <w:rsid w:val="00150E35"/>
    <w:rsid w:val="00155F8C"/>
    <w:rsid w:val="00163F01"/>
    <w:rsid w:val="0018118D"/>
    <w:rsid w:val="001942F2"/>
    <w:rsid w:val="001B234B"/>
    <w:rsid w:val="001B5516"/>
    <w:rsid w:val="001E03C8"/>
    <w:rsid w:val="001E0DE2"/>
    <w:rsid w:val="001F0CBA"/>
    <w:rsid w:val="00210360"/>
    <w:rsid w:val="00215D46"/>
    <w:rsid w:val="00240C99"/>
    <w:rsid w:val="0024326B"/>
    <w:rsid w:val="0026380F"/>
    <w:rsid w:val="00273122"/>
    <w:rsid w:val="00277B6D"/>
    <w:rsid w:val="00291846"/>
    <w:rsid w:val="002A3A50"/>
    <w:rsid w:val="002A602A"/>
    <w:rsid w:val="002B5DE5"/>
    <w:rsid w:val="002C3D04"/>
    <w:rsid w:val="002C44C1"/>
    <w:rsid w:val="002C5687"/>
    <w:rsid w:val="002C613B"/>
    <w:rsid w:val="002D143E"/>
    <w:rsid w:val="002D5E0C"/>
    <w:rsid w:val="002F0435"/>
    <w:rsid w:val="002F0D6F"/>
    <w:rsid w:val="002F223D"/>
    <w:rsid w:val="00324B54"/>
    <w:rsid w:val="00330156"/>
    <w:rsid w:val="00340756"/>
    <w:rsid w:val="003504E6"/>
    <w:rsid w:val="00351943"/>
    <w:rsid w:val="003550E5"/>
    <w:rsid w:val="00365440"/>
    <w:rsid w:val="0037373F"/>
    <w:rsid w:val="00384B44"/>
    <w:rsid w:val="003917C1"/>
    <w:rsid w:val="003946A2"/>
    <w:rsid w:val="003A5F2D"/>
    <w:rsid w:val="003A7A72"/>
    <w:rsid w:val="003B7BC3"/>
    <w:rsid w:val="003C14FA"/>
    <w:rsid w:val="003C7970"/>
    <w:rsid w:val="003D70D3"/>
    <w:rsid w:val="003D7420"/>
    <w:rsid w:val="003F1E89"/>
    <w:rsid w:val="003F6211"/>
    <w:rsid w:val="003F79A7"/>
    <w:rsid w:val="00421B2B"/>
    <w:rsid w:val="00423B7E"/>
    <w:rsid w:val="00425222"/>
    <w:rsid w:val="00445519"/>
    <w:rsid w:val="00446D6E"/>
    <w:rsid w:val="0045015C"/>
    <w:rsid w:val="00470953"/>
    <w:rsid w:val="004733F9"/>
    <w:rsid w:val="004978DB"/>
    <w:rsid w:val="004A2CD0"/>
    <w:rsid w:val="004A4F0D"/>
    <w:rsid w:val="004B1659"/>
    <w:rsid w:val="004C00B6"/>
    <w:rsid w:val="004C6F53"/>
    <w:rsid w:val="004C7346"/>
    <w:rsid w:val="004D0A2B"/>
    <w:rsid w:val="00535572"/>
    <w:rsid w:val="00541A50"/>
    <w:rsid w:val="00542CE6"/>
    <w:rsid w:val="00544CC4"/>
    <w:rsid w:val="0054511B"/>
    <w:rsid w:val="005504DB"/>
    <w:rsid w:val="005666AE"/>
    <w:rsid w:val="00566CB4"/>
    <w:rsid w:val="0057033B"/>
    <w:rsid w:val="005B0F25"/>
    <w:rsid w:val="005B37A3"/>
    <w:rsid w:val="005F03A1"/>
    <w:rsid w:val="005F4AB3"/>
    <w:rsid w:val="00604711"/>
    <w:rsid w:val="0066051B"/>
    <w:rsid w:val="00681043"/>
    <w:rsid w:val="006820C7"/>
    <w:rsid w:val="00697BF2"/>
    <w:rsid w:val="006A03C2"/>
    <w:rsid w:val="006A187F"/>
    <w:rsid w:val="006A487D"/>
    <w:rsid w:val="006A5073"/>
    <w:rsid w:val="006B56AC"/>
    <w:rsid w:val="006B78C0"/>
    <w:rsid w:val="006C27F9"/>
    <w:rsid w:val="006C5406"/>
    <w:rsid w:val="006E791F"/>
    <w:rsid w:val="006F2EE4"/>
    <w:rsid w:val="007115E0"/>
    <w:rsid w:val="00713C62"/>
    <w:rsid w:val="00714AEB"/>
    <w:rsid w:val="007822F3"/>
    <w:rsid w:val="00793BD4"/>
    <w:rsid w:val="007A2CDE"/>
    <w:rsid w:val="007C4900"/>
    <w:rsid w:val="007D268B"/>
    <w:rsid w:val="0082682D"/>
    <w:rsid w:val="008350C7"/>
    <w:rsid w:val="00893B92"/>
    <w:rsid w:val="008B2354"/>
    <w:rsid w:val="008B3691"/>
    <w:rsid w:val="008B4C38"/>
    <w:rsid w:val="008C0301"/>
    <w:rsid w:val="008C5614"/>
    <w:rsid w:val="008C6550"/>
    <w:rsid w:val="008D5956"/>
    <w:rsid w:val="008F38B9"/>
    <w:rsid w:val="008F765F"/>
    <w:rsid w:val="0090778A"/>
    <w:rsid w:val="00912697"/>
    <w:rsid w:val="009168D5"/>
    <w:rsid w:val="0091733B"/>
    <w:rsid w:val="009264AD"/>
    <w:rsid w:val="00934BE6"/>
    <w:rsid w:val="00936436"/>
    <w:rsid w:val="00970198"/>
    <w:rsid w:val="0099038C"/>
    <w:rsid w:val="009909A5"/>
    <w:rsid w:val="009C47B1"/>
    <w:rsid w:val="009D6824"/>
    <w:rsid w:val="009F69C1"/>
    <w:rsid w:val="00A05976"/>
    <w:rsid w:val="00A0710B"/>
    <w:rsid w:val="00A156C9"/>
    <w:rsid w:val="00A17885"/>
    <w:rsid w:val="00A41A13"/>
    <w:rsid w:val="00A736EF"/>
    <w:rsid w:val="00AB1574"/>
    <w:rsid w:val="00AB5638"/>
    <w:rsid w:val="00AF5B0D"/>
    <w:rsid w:val="00B13A4E"/>
    <w:rsid w:val="00B578C9"/>
    <w:rsid w:val="00B63205"/>
    <w:rsid w:val="00B74384"/>
    <w:rsid w:val="00B74994"/>
    <w:rsid w:val="00B8124C"/>
    <w:rsid w:val="00B817F0"/>
    <w:rsid w:val="00B83D3B"/>
    <w:rsid w:val="00B90249"/>
    <w:rsid w:val="00B95400"/>
    <w:rsid w:val="00BC4BA5"/>
    <w:rsid w:val="00BD57EF"/>
    <w:rsid w:val="00C17860"/>
    <w:rsid w:val="00C21A21"/>
    <w:rsid w:val="00C24A6F"/>
    <w:rsid w:val="00C41440"/>
    <w:rsid w:val="00C4414A"/>
    <w:rsid w:val="00C56C92"/>
    <w:rsid w:val="00C67191"/>
    <w:rsid w:val="00CA1602"/>
    <w:rsid w:val="00CA6904"/>
    <w:rsid w:val="00CA70F7"/>
    <w:rsid w:val="00CC3608"/>
    <w:rsid w:val="00CD7784"/>
    <w:rsid w:val="00CE0EFB"/>
    <w:rsid w:val="00CF34E6"/>
    <w:rsid w:val="00CF3803"/>
    <w:rsid w:val="00D073C6"/>
    <w:rsid w:val="00D17F9A"/>
    <w:rsid w:val="00D206C0"/>
    <w:rsid w:val="00D249E6"/>
    <w:rsid w:val="00D35697"/>
    <w:rsid w:val="00D35E09"/>
    <w:rsid w:val="00D40137"/>
    <w:rsid w:val="00D44C71"/>
    <w:rsid w:val="00D47761"/>
    <w:rsid w:val="00D500A3"/>
    <w:rsid w:val="00D521D4"/>
    <w:rsid w:val="00D707BE"/>
    <w:rsid w:val="00D82FC8"/>
    <w:rsid w:val="00D865FD"/>
    <w:rsid w:val="00D87142"/>
    <w:rsid w:val="00DC1A94"/>
    <w:rsid w:val="00DE0DCD"/>
    <w:rsid w:val="00DE199F"/>
    <w:rsid w:val="00DE67DC"/>
    <w:rsid w:val="00DF2017"/>
    <w:rsid w:val="00E12D62"/>
    <w:rsid w:val="00E30D32"/>
    <w:rsid w:val="00E32122"/>
    <w:rsid w:val="00E32CE4"/>
    <w:rsid w:val="00E44ADA"/>
    <w:rsid w:val="00E46907"/>
    <w:rsid w:val="00E47267"/>
    <w:rsid w:val="00E55E34"/>
    <w:rsid w:val="00E634A5"/>
    <w:rsid w:val="00E67F8E"/>
    <w:rsid w:val="00E846E1"/>
    <w:rsid w:val="00E87748"/>
    <w:rsid w:val="00E961C9"/>
    <w:rsid w:val="00E97E1A"/>
    <w:rsid w:val="00EC1EF1"/>
    <w:rsid w:val="00EC2A3D"/>
    <w:rsid w:val="00ED6186"/>
    <w:rsid w:val="00EE426B"/>
    <w:rsid w:val="00EE524D"/>
    <w:rsid w:val="00EF0E24"/>
    <w:rsid w:val="00F03531"/>
    <w:rsid w:val="00F12466"/>
    <w:rsid w:val="00F17208"/>
    <w:rsid w:val="00F20967"/>
    <w:rsid w:val="00F22B1A"/>
    <w:rsid w:val="00F24679"/>
    <w:rsid w:val="00F31D3E"/>
    <w:rsid w:val="00F364D4"/>
    <w:rsid w:val="00F70A7E"/>
    <w:rsid w:val="00F83F96"/>
    <w:rsid w:val="00F966C6"/>
    <w:rsid w:val="00FA62FF"/>
    <w:rsid w:val="00FB6FBB"/>
    <w:rsid w:val="00FD5ED9"/>
    <w:rsid w:val="00FD6DFB"/>
    <w:rsid w:val="00FE1868"/>
    <w:rsid w:val="00FE798C"/>
    <w:rsid w:val="00FF29C9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62FF"/>
    <w:pPr>
      <w:keepNext/>
      <w:keepLines/>
      <w:suppressAutoHyphens/>
      <w:spacing w:before="60" w:after="120" w:line="288" w:lineRule="auto"/>
      <w:jc w:val="center"/>
      <w:outlineLvl w:val="1"/>
    </w:pPr>
    <w:rPr>
      <w:rFonts w:cs="Arial"/>
      <w:b/>
      <w:bCs/>
      <w:i/>
      <w:iCs/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6C0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CE0EFB"/>
    <w:pPr>
      <w:spacing w:before="120" w:after="120" w:line="276" w:lineRule="auto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E0EFB"/>
    <w:pPr>
      <w:tabs>
        <w:tab w:val="right" w:leader="dot" w:pos="9345"/>
      </w:tabs>
      <w:spacing w:line="276" w:lineRule="auto"/>
      <w:ind w:left="220"/>
    </w:pPr>
    <w:rPr>
      <w:smallCaps/>
      <w:noProof/>
    </w:rPr>
  </w:style>
  <w:style w:type="character" w:styleId="a9">
    <w:name w:val="Hyperlink"/>
    <w:basedOn w:val="a0"/>
    <w:uiPriority w:val="99"/>
    <w:unhideWhenUsed/>
    <w:rsid w:val="00CE0EFB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B83D3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a">
    <w:name w:val="List Paragraph"/>
    <w:basedOn w:val="a"/>
    <w:uiPriority w:val="34"/>
    <w:qFormat/>
    <w:rsid w:val="000A2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otnote reference"/>
    <w:basedOn w:val="a0"/>
    <w:uiPriority w:val="99"/>
    <w:semiHidden/>
    <w:unhideWhenUsed/>
    <w:rsid w:val="003550E5"/>
    <w:rPr>
      <w:vertAlign w:val="superscript"/>
    </w:rPr>
  </w:style>
  <w:style w:type="paragraph" w:customStyle="1" w:styleId="ac">
    <w:name w:val="Ст."/>
    <w:basedOn w:val="a"/>
    <w:link w:val="ad"/>
    <w:qFormat/>
    <w:rsid w:val="00970198"/>
    <w:pPr>
      <w:spacing w:line="360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Ст. Знак"/>
    <w:basedOn w:val="a0"/>
    <w:link w:val="ac"/>
    <w:rsid w:val="00970198"/>
    <w:rPr>
      <w:rFonts w:ascii="Times New Roman" w:hAnsi="Times New Roman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1500D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A62FF"/>
    <w:rPr>
      <w:rFonts w:ascii="Times New Roman" w:eastAsia="Times New Roman" w:hAnsi="Times New Roman" w:cs="Arial"/>
      <w:b/>
      <w:bCs/>
      <w:i/>
      <w:iCs/>
      <w:kern w:val="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DC8F-6095-4D44-8D43-3ED2D131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2</cp:revision>
  <cp:lastPrinted>2013-12-09T08:41:00Z</cp:lastPrinted>
  <dcterms:created xsi:type="dcterms:W3CDTF">2013-12-11T11:42:00Z</dcterms:created>
  <dcterms:modified xsi:type="dcterms:W3CDTF">2013-12-11T11:42:00Z</dcterms:modified>
</cp:coreProperties>
</file>